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C0" w:rsidRPr="001F5F07" w:rsidRDefault="003E55C0" w:rsidP="00F850D8">
      <w:pPr>
        <w:pStyle w:val="Default"/>
        <w:rPr>
          <w:b/>
          <w:color w:val="auto"/>
          <w:sz w:val="22"/>
          <w:szCs w:val="22"/>
        </w:rPr>
      </w:pPr>
    </w:p>
    <w:p w:rsidR="00F52285" w:rsidRPr="001F5F07" w:rsidRDefault="00D74D5B" w:rsidP="00D74D5B">
      <w:pPr>
        <w:pStyle w:val="Default"/>
        <w:jc w:val="right"/>
        <w:rPr>
          <w:b/>
          <w:color w:val="auto"/>
          <w:sz w:val="22"/>
          <w:szCs w:val="22"/>
        </w:rPr>
      </w:pPr>
      <w:r w:rsidRPr="001F5F07">
        <w:rPr>
          <w:noProof/>
          <w:color w:val="auto"/>
          <w:sz w:val="22"/>
          <w:szCs w:val="22"/>
          <w:lang w:eastAsia="en-GB"/>
        </w:rPr>
        <w:drawing>
          <wp:inline distT="0" distB="0" distL="0" distR="0" wp14:anchorId="5DD86102" wp14:editId="510E685C">
            <wp:extent cx="17907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p w:rsidR="00F52285" w:rsidRPr="001F5F07" w:rsidRDefault="00F52285" w:rsidP="003E55C0">
      <w:pPr>
        <w:pStyle w:val="Default"/>
        <w:jc w:val="center"/>
        <w:rPr>
          <w:b/>
          <w:color w:val="auto"/>
          <w:sz w:val="22"/>
          <w:szCs w:val="22"/>
        </w:rPr>
      </w:pPr>
    </w:p>
    <w:p w:rsidR="00403184" w:rsidRPr="001F5F07" w:rsidRDefault="00F52285" w:rsidP="003E55C0">
      <w:pPr>
        <w:pStyle w:val="Default"/>
        <w:jc w:val="center"/>
        <w:rPr>
          <w:b/>
          <w:color w:val="auto"/>
          <w:sz w:val="22"/>
          <w:szCs w:val="22"/>
        </w:rPr>
      </w:pPr>
      <w:r w:rsidRPr="001F5F07">
        <w:rPr>
          <w:b/>
          <w:color w:val="auto"/>
          <w:sz w:val="22"/>
          <w:szCs w:val="22"/>
        </w:rPr>
        <w:t>Scottish Qualifications Authority (trading as SQA)</w:t>
      </w:r>
    </w:p>
    <w:p w:rsidR="00F52285" w:rsidRPr="001F5F07" w:rsidRDefault="00F52285" w:rsidP="003E55C0">
      <w:pPr>
        <w:pStyle w:val="Default"/>
        <w:jc w:val="center"/>
        <w:rPr>
          <w:b/>
          <w:color w:val="auto"/>
          <w:sz w:val="22"/>
          <w:szCs w:val="22"/>
        </w:rPr>
      </w:pPr>
    </w:p>
    <w:p w:rsidR="00D74D5B" w:rsidRPr="001F5F07" w:rsidRDefault="00D74D5B" w:rsidP="00D74D5B">
      <w:pPr>
        <w:pStyle w:val="Default"/>
        <w:spacing w:after="400"/>
        <w:ind w:left="360"/>
        <w:jc w:val="center"/>
        <w:rPr>
          <w:b/>
          <w:color w:val="auto"/>
          <w:sz w:val="22"/>
          <w:szCs w:val="22"/>
        </w:rPr>
      </w:pPr>
      <w:r w:rsidRPr="001F5F07">
        <w:rPr>
          <w:b/>
          <w:color w:val="auto"/>
          <w:sz w:val="22"/>
          <w:szCs w:val="22"/>
        </w:rPr>
        <w:t xml:space="preserve">SQA </w:t>
      </w:r>
      <w:r w:rsidR="000F2334" w:rsidRPr="001F5F07">
        <w:rPr>
          <w:b/>
          <w:color w:val="auto"/>
          <w:sz w:val="22"/>
          <w:szCs w:val="22"/>
        </w:rPr>
        <w:t xml:space="preserve">Level 2 Certificate in Warehousing and Storage </w:t>
      </w:r>
      <w:r w:rsidRPr="001F5F07">
        <w:rPr>
          <w:b/>
          <w:color w:val="auto"/>
          <w:sz w:val="22"/>
          <w:szCs w:val="22"/>
        </w:rPr>
        <w:t xml:space="preserve">(QCF) </w:t>
      </w:r>
      <w:r w:rsidR="000F2334" w:rsidRPr="001F5F07">
        <w:rPr>
          <w:rFonts w:eastAsia="Times New Roman"/>
          <w:b/>
          <w:color w:val="auto"/>
          <w:sz w:val="22"/>
          <w:szCs w:val="22"/>
          <w:lang w:eastAsia="en-GB"/>
        </w:rPr>
        <w:t>60003005</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82"/>
        <w:gridCol w:w="7661"/>
      </w:tblGrid>
      <w:tr w:rsidR="001F5F07" w:rsidRPr="001F5F07" w:rsidTr="002C44BE">
        <w:tc>
          <w:tcPr>
            <w:tcW w:w="2230" w:type="dxa"/>
          </w:tcPr>
          <w:p w:rsidR="00F52285" w:rsidRPr="001F5F07" w:rsidRDefault="00F52285" w:rsidP="00F52285">
            <w:pPr>
              <w:pStyle w:val="Default"/>
              <w:spacing w:after="400"/>
              <w:rPr>
                <w:b/>
                <w:color w:val="auto"/>
                <w:sz w:val="22"/>
                <w:szCs w:val="22"/>
              </w:rPr>
            </w:pPr>
            <w:r w:rsidRPr="001F5F07">
              <w:rPr>
                <w:b/>
                <w:color w:val="auto"/>
                <w:sz w:val="22"/>
                <w:szCs w:val="22"/>
              </w:rPr>
              <w:t>Type of qualification</w:t>
            </w:r>
          </w:p>
        </w:tc>
        <w:tc>
          <w:tcPr>
            <w:tcW w:w="282" w:type="dxa"/>
          </w:tcPr>
          <w:p w:rsidR="00F52285" w:rsidRPr="001F5F07" w:rsidRDefault="00F52285" w:rsidP="00F52285">
            <w:pPr>
              <w:pStyle w:val="Default"/>
              <w:spacing w:after="400"/>
              <w:ind w:right="2405"/>
              <w:rPr>
                <w:color w:val="auto"/>
                <w:sz w:val="22"/>
                <w:szCs w:val="22"/>
              </w:rPr>
            </w:pPr>
          </w:p>
        </w:tc>
        <w:tc>
          <w:tcPr>
            <w:tcW w:w="7661" w:type="dxa"/>
          </w:tcPr>
          <w:p w:rsidR="00F52285" w:rsidRPr="001F5F07" w:rsidRDefault="00F52285" w:rsidP="00741A0E">
            <w:pPr>
              <w:pStyle w:val="Default"/>
              <w:spacing w:after="400"/>
              <w:ind w:left="-385" w:firstLine="385"/>
              <w:rPr>
                <w:color w:val="auto"/>
                <w:sz w:val="22"/>
                <w:szCs w:val="22"/>
              </w:rPr>
            </w:pPr>
            <w:r w:rsidRPr="001F5F07">
              <w:rPr>
                <w:color w:val="auto"/>
                <w:sz w:val="22"/>
                <w:szCs w:val="22"/>
              </w:rPr>
              <w:t>QCF (Qualifications and Credit Framework)</w:t>
            </w:r>
          </w:p>
        </w:tc>
      </w:tr>
      <w:tr w:rsidR="001F5F07" w:rsidRPr="001F5F07" w:rsidTr="002C44BE">
        <w:tc>
          <w:tcPr>
            <w:tcW w:w="2230" w:type="dxa"/>
          </w:tcPr>
          <w:p w:rsidR="00F52285" w:rsidRPr="001F5F07" w:rsidRDefault="00F52285" w:rsidP="00F52285">
            <w:pPr>
              <w:pStyle w:val="Default"/>
              <w:spacing w:after="400"/>
              <w:rPr>
                <w:b/>
                <w:color w:val="auto"/>
                <w:sz w:val="22"/>
                <w:szCs w:val="22"/>
              </w:rPr>
            </w:pPr>
            <w:r w:rsidRPr="001F5F07">
              <w:rPr>
                <w:b/>
                <w:color w:val="auto"/>
                <w:sz w:val="22"/>
                <w:szCs w:val="22"/>
              </w:rPr>
              <w:t>Credit</w:t>
            </w:r>
            <w:r w:rsidR="00EB7E4A" w:rsidRPr="001F5F07">
              <w:rPr>
                <w:b/>
                <w:color w:val="auto"/>
                <w:sz w:val="22"/>
                <w:szCs w:val="22"/>
              </w:rPr>
              <w:t>s</w:t>
            </w:r>
          </w:p>
        </w:tc>
        <w:tc>
          <w:tcPr>
            <w:tcW w:w="282" w:type="dxa"/>
          </w:tcPr>
          <w:p w:rsidR="00F52285" w:rsidRPr="001F5F07" w:rsidRDefault="00F52285" w:rsidP="00F52285">
            <w:pPr>
              <w:pStyle w:val="Default"/>
              <w:spacing w:after="400"/>
              <w:rPr>
                <w:color w:val="auto"/>
                <w:sz w:val="22"/>
                <w:szCs w:val="22"/>
              </w:rPr>
            </w:pPr>
          </w:p>
        </w:tc>
        <w:tc>
          <w:tcPr>
            <w:tcW w:w="7661" w:type="dxa"/>
          </w:tcPr>
          <w:p w:rsidR="00F52285" w:rsidRPr="001F5F07" w:rsidRDefault="000F2334" w:rsidP="00F52285">
            <w:pPr>
              <w:pStyle w:val="Default"/>
              <w:spacing w:after="400"/>
              <w:rPr>
                <w:color w:val="auto"/>
                <w:sz w:val="22"/>
                <w:szCs w:val="22"/>
              </w:rPr>
            </w:pPr>
            <w:r w:rsidRPr="001F5F07">
              <w:rPr>
                <w:color w:val="auto"/>
                <w:sz w:val="22"/>
                <w:szCs w:val="22"/>
              </w:rPr>
              <w:t>26</w:t>
            </w:r>
          </w:p>
        </w:tc>
      </w:tr>
      <w:tr w:rsidR="001F5F07" w:rsidRPr="001F5F07" w:rsidTr="002C44BE">
        <w:tc>
          <w:tcPr>
            <w:tcW w:w="2230" w:type="dxa"/>
          </w:tcPr>
          <w:p w:rsidR="00F52285" w:rsidRPr="001F5F07" w:rsidRDefault="00F52285" w:rsidP="00F52285">
            <w:pPr>
              <w:pStyle w:val="Default"/>
              <w:spacing w:after="400"/>
              <w:rPr>
                <w:b/>
                <w:color w:val="auto"/>
                <w:sz w:val="22"/>
                <w:szCs w:val="22"/>
              </w:rPr>
            </w:pPr>
            <w:r w:rsidRPr="001F5F07">
              <w:rPr>
                <w:b/>
                <w:color w:val="auto"/>
                <w:sz w:val="22"/>
                <w:szCs w:val="22"/>
              </w:rPr>
              <w:t>Guided Learning Hours</w:t>
            </w:r>
          </w:p>
        </w:tc>
        <w:tc>
          <w:tcPr>
            <w:tcW w:w="282" w:type="dxa"/>
          </w:tcPr>
          <w:p w:rsidR="00F52285" w:rsidRPr="001F5F07" w:rsidRDefault="00F52285" w:rsidP="00F52285">
            <w:pPr>
              <w:pStyle w:val="Default"/>
              <w:spacing w:after="400"/>
              <w:rPr>
                <w:color w:val="auto"/>
                <w:sz w:val="22"/>
                <w:szCs w:val="22"/>
              </w:rPr>
            </w:pPr>
          </w:p>
        </w:tc>
        <w:tc>
          <w:tcPr>
            <w:tcW w:w="7661" w:type="dxa"/>
          </w:tcPr>
          <w:p w:rsidR="00F52285" w:rsidRPr="001F5F07" w:rsidRDefault="0090470B" w:rsidP="000F2334">
            <w:pPr>
              <w:pStyle w:val="Default"/>
              <w:spacing w:after="400"/>
              <w:rPr>
                <w:color w:val="auto"/>
                <w:sz w:val="22"/>
                <w:szCs w:val="22"/>
              </w:rPr>
            </w:pPr>
            <w:r w:rsidRPr="001F5F07">
              <w:rPr>
                <w:color w:val="auto"/>
                <w:sz w:val="22"/>
                <w:szCs w:val="22"/>
              </w:rPr>
              <w:t xml:space="preserve">Minimum of </w:t>
            </w:r>
            <w:r w:rsidR="000F2334" w:rsidRPr="001F5F07">
              <w:rPr>
                <w:color w:val="auto"/>
                <w:sz w:val="22"/>
                <w:szCs w:val="22"/>
              </w:rPr>
              <w:t>99</w:t>
            </w:r>
            <w:r w:rsidRPr="001F5F07">
              <w:rPr>
                <w:color w:val="auto"/>
                <w:sz w:val="22"/>
                <w:szCs w:val="22"/>
              </w:rPr>
              <w:t xml:space="preserve"> to Maximum of </w:t>
            </w:r>
            <w:r w:rsidR="000F2334" w:rsidRPr="001F5F07">
              <w:rPr>
                <w:color w:val="auto"/>
                <w:sz w:val="22"/>
                <w:szCs w:val="22"/>
              </w:rPr>
              <w:t>125</w:t>
            </w:r>
            <w:r w:rsidRPr="001F5F07">
              <w:rPr>
                <w:color w:val="auto"/>
                <w:sz w:val="22"/>
                <w:szCs w:val="22"/>
              </w:rPr>
              <w:t xml:space="preserve"> Guided Learning Hours</w:t>
            </w:r>
          </w:p>
        </w:tc>
      </w:tr>
      <w:tr w:rsidR="001F5F07" w:rsidRPr="001F5F07" w:rsidTr="00BF59E8">
        <w:tc>
          <w:tcPr>
            <w:tcW w:w="2230" w:type="dxa"/>
          </w:tcPr>
          <w:p w:rsidR="00F52285" w:rsidRDefault="00DE0091" w:rsidP="00F52285">
            <w:pPr>
              <w:pStyle w:val="Default"/>
              <w:spacing w:after="400"/>
              <w:rPr>
                <w:b/>
                <w:color w:val="auto"/>
                <w:sz w:val="22"/>
                <w:szCs w:val="22"/>
              </w:rPr>
            </w:pPr>
            <w:r w:rsidRPr="001F5F07">
              <w:rPr>
                <w:color w:val="auto"/>
                <w:sz w:val="22"/>
                <w:szCs w:val="22"/>
              </w:rPr>
              <w:br w:type="page"/>
            </w:r>
            <w:r w:rsidR="00F52285" w:rsidRPr="001F5F07">
              <w:rPr>
                <w:b/>
                <w:color w:val="auto"/>
                <w:sz w:val="22"/>
                <w:szCs w:val="22"/>
              </w:rPr>
              <w:t>Overview of the Qualification</w:t>
            </w:r>
          </w:p>
          <w:p w:rsidR="00790C86" w:rsidRDefault="00790C86" w:rsidP="00F52285">
            <w:pPr>
              <w:pStyle w:val="Default"/>
              <w:spacing w:after="400"/>
              <w:rPr>
                <w:b/>
                <w:color w:val="auto"/>
                <w:sz w:val="22"/>
                <w:szCs w:val="22"/>
              </w:rPr>
            </w:pPr>
          </w:p>
          <w:p w:rsidR="00790C86" w:rsidRDefault="00790C86" w:rsidP="00F52285">
            <w:pPr>
              <w:pStyle w:val="Default"/>
              <w:spacing w:after="400"/>
              <w:rPr>
                <w:b/>
                <w:color w:val="auto"/>
                <w:sz w:val="22"/>
                <w:szCs w:val="22"/>
              </w:rPr>
            </w:pPr>
          </w:p>
          <w:p w:rsidR="00790C86" w:rsidRDefault="00790C86" w:rsidP="00F52285">
            <w:pPr>
              <w:pStyle w:val="Default"/>
              <w:spacing w:after="400"/>
              <w:rPr>
                <w:b/>
                <w:color w:val="auto"/>
                <w:sz w:val="22"/>
                <w:szCs w:val="22"/>
              </w:rPr>
            </w:pPr>
          </w:p>
          <w:p w:rsidR="00790C86" w:rsidRPr="001F5F07" w:rsidRDefault="00790C86" w:rsidP="00790C86">
            <w:pPr>
              <w:rPr>
                <w:b/>
              </w:rPr>
            </w:pPr>
          </w:p>
        </w:tc>
        <w:tc>
          <w:tcPr>
            <w:tcW w:w="282" w:type="dxa"/>
            <w:shd w:val="clear" w:color="auto" w:fill="auto"/>
          </w:tcPr>
          <w:p w:rsidR="00F52285" w:rsidRPr="001F5F07" w:rsidRDefault="00F52285" w:rsidP="00316DF7">
            <w:pPr>
              <w:pStyle w:val="Default"/>
              <w:ind w:left="57"/>
              <w:rPr>
                <w:color w:val="auto"/>
                <w:sz w:val="22"/>
                <w:szCs w:val="22"/>
              </w:rPr>
            </w:pPr>
          </w:p>
        </w:tc>
        <w:tc>
          <w:tcPr>
            <w:tcW w:w="7661" w:type="dxa"/>
            <w:shd w:val="clear" w:color="auto" w:fill="auto"/>
          </w:tcPr>
          <w:p w:rsidR="00AA7AF4" w:rsidRDefault="0066679F" w:rsidP="00790C86">
            <w:pPr>
              <w:autoSpaceDE w:val="0"/>
              <w:autoSpaceDN w:val="0"/>
              <w:adjustRightInd w:val="0"/>
              <w:rPr>
                <w:rFonts w:ascii="Arial" w:hAnsi="Arial" w:cs="Arial"/>
              </w:rPr>
            </w:pPr>
            <w:r w:rsidRPr="00790C86">
              <w:rPr>
                <w:rFonts w:ascii="Arial" w:hAnsi="Arial" w:cs="Arial"/>
              </w:rPr>
              <w:t>This is a vocational QCF qualification</w:t>
            </w:r>
            <w:r w:rsidR="00AA7AF4">
              <w:rPr>
                <w:rFonts w:ascii="Arial" w:hAnsi="Arial" w:cs="Arial"/>
              </w:rPr>
              <w:t xml:space="preserve">, the primary purpose of which is to confirm your occupational competence of </w:t>
            </w:r>
            <w:r w:rsidR="006E0588">
              <w:rPr>
                <w:rFonts w:ascii="Arial" w:hAnsi="Arial" w:cs="Arial"/>
              </w:rPr>
              <w:t xml:space="preserve">working within </w:t>
            </w:r>
            <w:r w:rsidR="00AA7AF4">
              <w:rPr>
                <w:rFonts w:ascii="Arial" w:hAnsi="Arial" w:cs="Arial"/>
              </w:rPr>
              <w:t>a warehousing and storage environment.</w:t>
            </w:r>
          </w:p>
          <w:p w:rsidR="00AA7AF4" w:rsidRDefault="00AA7AF4" w:rsidP="00790C86">
            <w:pPr>
              <w:autoSpaceDE w:val="0"/>
              <w:autoSpaceDN w:val="0"/>
              <w:adjustRightInd w:val="0"/>
              <w:rPr>
                <w:rFonts w:ascii="Arial" w:hAnsi="Arial" w:cs="Arial"/>
              </w:rPr>
            </w:pPr>
          </w:p>
          <w:p w:rsidR="0066679F" w:rsidRDefault="00AA7AF4" w:rsidP="00790C86">
            <w:pPr>
              <w:autoSpaceDE w:val="0"/>
              <w:autoSpaceDN w:val="0"/>
              <w:adjustRightInd w:val="0"/>
              <w:rPr>
                <w:rFonts w:ascii="Arial" w:hAnsi="Arial" w:cs="Arial"/>
              </w:rPr>
            </w:pPr>
            <w:r>
              <w:rPr>
                <w:rFonts w:ascii="Arial" w:hAnsi="Arial" w:cs="Arial"/>
              </w:rPr>
              <w:t>This qualification</w:t>
            </w:r>
            <w:r w:rsidR="0066679F" w:rsidRPr="00790C86">
              <w:rPr>
                <w:rFonts w:ascii="Arial" w:hAnsi="Arial" w:cs="Arial"/>
              </w:rPr>
              <w:t xml:space="preserve"> </w:t>
            </w:r>
            <w:r w:rsidR="00790C86">
              <w:rPr>
                <w:rFonts w:ascii="Arial" w:hAnsi="Arial" w:cs="Arial"/>
              </w:rPr>
              <w:t xml:space="preserve">will provide you with the </w:t>
            </w:r>
            <w:r w:rsidR="0066679F" w:rsidRPr="00790C86">
              <w:rPr>
                <w:rFonts w:ascii="Arial" w:hAnsi="Arial" w:cs="Arial"/>
              </w:rPr>
              <w:t xml:space="preserve">skills and knowledge necessary </w:t>
            </w:r>
            <w:r w:rsidR="00790C86">
              <w:rPr>
                <w:rFonts w:ascii="Arial" w:hAnsi="Arial" w:cs="Arial"/>
              </w:rPr>
              <w:t xml:space="preserve">to enter or progress employment </w:t>
            </w:r>
            <w:r w:rsidR="0066679F" w:rsidRPr="00790C86">
              <w:rPr>
                <w:rFonts w:ascii="Arial" w:hAnsi="Arial" w:cs="Arial"/>
              </w:rPr>
              <w:t xml:space="preserve">within </w:t>
            </w:r>
            <w:r>
              <w:rPr>
                <w:rFonts w:ascii="Arial" w:hAnsi="Arial" w:cs="Arial"/>
              </w:rPr>
              <w:t>this environment, for example as a Warehouse Operative</w:t>
            </w:r>
            <w:r w:rsidR="0066679F" w:rsidRPr="00790C86">
              <w:rPr>
                <w:rFonts w:ascii="Arial" w:hAnsi="Arial" w:cs="Arial"/>
              </w:rPr>
              <w:t>.</w:t>
            </w:r>
          </w:p>
          <w:p w:rsidR="00AA7AF4" w:rsidRDefault="00AA7AF4" w:rsidP="00790C86">
            <w:pPr>
              <w:autoSpaceDE w:val="0"/>
              <w:autoSpaceDN w:val="0"/>
              <w:adjustRightInd w:val="0"/>
              <w:rPr>
                <w:rFonts w:ascii="Arial" w:hAnsi="Arial" w:cs="Arial"/>
              </w:rPr>
            </w:pPr>
          </w:p>
          <w:p w:rsidR="00AA7AF4" w:rsidRPr="0034510E" w:rsidRDefault="00AA7AF4" w:rsidP="00AA7AF4">
            <w:pPr>
              <w:rPr>
                <w:rFonts w:ascii="Arial" w:hAnsi="Arial" w:cs="Arial"/>
              </w:rPr>
            </w:pPr>
            <w:r w:rsidRPr="00790C86">
              <w:rPr>
                <w:rFonts w:ascii="Arial" w:hAnsi="Arial" w:cs="Arial"/>
              </w:rPr>
              <w:t>As this is a “competence based qualification” this means that you will largely acquire the skills required through on-the-job experience.</w:t>
            </w:r>
            <w:r w:rsidR="00FE763D">
              <w:rPr>
                <w:rFonts w:ascii="Arial" w:hAnsi="Arial" w:cs="Arial"/>
              </w:rPr>
              <w:t xml:space="preserve">  You will demonstrate your skills and knowledge by collecting evidence of your work.  This is usually presented in a portfolio (however your approved centre may use alternative methods of assessment</w:t>
            </w:r>
            <w:r w:rsidR="00FE763D" w:rsidRPr="0034510E">
              <w:rPr>
                <w:rFonts w:ascii="Arial" w:hAnsi="Arial" w:cs="Arial"/>
              </w:rPr>
              <w:t xml:space="preserve">).  </w:t>
            </w:r>
            <w:r w:rsidR="0034510E" w:rsidRPr="0034510E">
              <w:rPr>
                <w:rFonts w:ascii="Arial" w:hAnsi="Arial" w:cs="Arial"/>
              </w:rPr>
              <w:t>Your assessor will work with you confirming that you have met the requirements set out in this qualification and are therefore competent in your role</w:t>
            </w:r>
            <w:r w:rsidR="008E23CF">
              <w:rPr>
                <w:rFonts w:ascii="Arial" w:hAnsi="Arial" w:cs="Arial"/>
              </w:rPr>
              <w:t>.</w:t>
            </w:r>
          </w:p>
          <w:p w:rsidR="00FE763D" w:rsidRPr="00790C86" w:rsidRDefault="00FE763D" w:rsidP="00AA7AF4">
            <w:pPr>
              <w:rPr>
                <w:rFonts w:ascii="Arial" w:hAnsi="Arial" w:cs="Arial"/>
              </w:rPr>
            </w:pPr>
          </w:p>
          <w:p w:rsidR="000F2334" w:rsidRPr="00790C86" w:rsidRDefault="00296A22" w:rsidP="008E23CF">
            <w:pPr>
              <w:autoSpaceDE w:val="0"/>
              <w:autoSpaceDN w:val="0"/>
              <w:adjustRightInd w:val="0"/>
              <w:rPr>
                <w:rFonts w:ascii="Arial" w:hAnsi="Arial" w:cs="Arial"/>
              </w:rPr>
            </w:pPr>
            <w:r w:rsidRPr="00790C86">
              <w:rPr>
                <w:rFonts w:ascii="Arial" w:hAnsi="Arial" w:cs="Arial"/>
              </w:rPr>
              <w:t xml:space="preserve">This qualification covers how to contribute to effective working relationships whilst maintaining health, safety and security within the workplace. </w:t>
            </w:r>
            <w:r w:rsidR="008E23CF">
              <w:rPr>
                <w:rFonts w:ascii="Arial" w:hAnsi="Arial" w:cs="Arial"/>
              </w:rPr>
              <w:t xml:space="preserve"> </w:t>
            </w:r>
            <w:r w:rsidR="000F2334" w:rsidRPr="00790C86">
              <w:rPr>
                <w:rFonts w:ascii="Arial" w:hAnsi="Arial" w:cs="Arial"/>
              </w:rPr>
              <w:t>You will also develop transferable skills that are valued by employers across a range of industries such as custome</w:t>
            </w:r>
            <w:r w:rsidR="008E23CF">
              <w:rPr>
                <w:rFonts w:ascii="Arial" w:hAnsi="Arial" w:cs="Arial"/>
              </w:rPr>
              <w:t>r service.</w:t>
            </w:r>
          </w:p>
          <w:p w:rsidR="006B3843" w:rsidRDefault="006B3843" w:rsidP="00790C86">
            <w:pPr>
              <w:pStyle w:val="NormalWeb"/>
              <w:spacing w:before="0" w:beforeAutospacing="0" w:after="0" w:afterAutospacing="0"/>
              <w:rPr>
                <w:rFonts w:ascii="Arial" w:hAnsi="Arial" w:cs="Arial"/>
                <w:sz w:val="22"/>
                <w:szCs w:val="22"/>
              </w:rPr>
            </w:pPr>
          </w:p>
          <w:p w:rsidR="00ED45DD" w:rsidRDefault="00ED45DD" w:rsidP="00ED45DD">
            <w:pPr>
              <w:pStyle w:val="NormalWeb"/>
              <w:spacing w:before="0" w:beforeAutospacing="0" w:after="0" w:afterAutospacing="0"/>
              <w:rPr>
                <w:rFonts w:ascii="Arial" w:hAnsi="Arial" w:cs="Arial"/>
                <w:sz w:val="22"/>
                <w:szCs w:val="22"/>
              </w:rPr>
            </w:pPr>
            <w:r>
              <w:rPr>
                <w:rFonts w:ascii="Arial" w:hAnsi="Arial" w:cs="Arial"/>
                <w:sz w:val="22"/>
                <w:szCs w:val="22"/>
              </w:rPr>
              <w:t>To complete this qualification you will undertake two mandatory units:</w:t>
            </w:r>
          </w:p>
          <w:p w:rsidR="00AA7AF4" w:rsidRDefault="00AA7AF4" w:rsidP="00790C86">
            <w:pPr>
              <w:pStyle w:val="NormalWeb"/>
              <w:spacing w:before="0" w:beforeAutospacing="0" w:after="0" w:afterAutospacing="0"/>
              <w:rPr>
                <w:rFonts w:ascii="Arial" w:hAnsi="Arial" w:cs="Arial"/>
                <w:sz w:val="22"/>
                <w:szCs w:val="22"/>
              </w:rPr>
            </w:pPr>
          </w:p>
          <w:p w:rsidR="00AA7AF4" w:rsidRPr="00790C86" w:rsidRDefault="00AA7AF4" w:rsidP="00AA7AF4">
            <w:pPr>
              <w:pStyle w:val="bullet"/>
              <w:numPr>
                <w:ilvl w:val="0"/>
                <w:numId w:val="33"/>
              </w:numPr>
              <w:rPr>
                <w:rFonts w:cs="Arial"/>
                <w:b/>
              </w:rPr>
            </w:pPr>
            <w:r w:rsidRPr="00790C86">
              <w:rPr>
                <w:rFonts w:cs="Arial"/>
              </w:rPr>
              <w:t xml:space="preserve">Health, </w:t>
            </w:r>
            <w:r w:rsidR="00BB4549">
              <w:rPr>
                <w:rFonts w:cs="Arial"/>
              </w:rPr>
              <w:t>s</w:t>
            </w:r>
            <w:r w:rsidRPr="00790C86">
              <w:rPr>
                <w:rFonts w:cs="Arial"/>
              </w:rPr>
              <w:t xml:space="preserve">afety and </w:t>
            </w:r>
            <w:r w:rsidR="00BB4549">
              <w:rPr>
                <w:rFonts w:cs="Arial"/>
              </w:rPr>
              <w:t>s</w:t>
            </w:r>
            <w:r w:rsidRPr="00790C86">
              <w:rPr>
                <w:rFonts w:cs="Arial"/>
              </w:rPr>
              <w:t xml:space="preserve">ecurity at </w:t>
            </w:r>
            <w:r w:rsidR="00BB4549">
              <w:rPr>
                <w:rFonts w:cs="Arial"/>
              </w:rPr>
              <w:t>w</w:t>
            </w:r>
            <w:r w:rsidRPr="00790C86">
              <w:rPr>
                <w:rFonts w:cs="Arial"/>
              </w:rPr>
              <w:t>ork  (3 credits)</w:t>
            </w:r>
          </w:p>
          <w:p w:rsidR="00AA7AF4" w:rsidRPr="00790C86" w:rsidRDefault="00AA7AF4" w:rsidP="00AA7AF4">
            <w:pPr>
              <w:pStyle w:val="bullet"/>
              <w:numPr>
                <w:ilvl w:val="0"/>
                <w:numId w:val="33"/>
              </w:numPr>
              <w:rPr>
                <w:rFonts w:cs="Arial"/>
                <w:b/>
              </w:rPr>
            </w:pPr>
            <w:r w:rsidRPr="00790C86">
              <w:rPr>
                <w:rFonts w:cs="Arial"/>
              </w:rPr>
              <w:t xml:space="preserve">Develop </w:t>
            </w:r>
            <w:r w:rsidR="00BB4549">
              <w:rPr>
                <w:rFonts w:cs="Arial"/>
              </w:rPr>
              <w:t>e</w:t>
            </w:r>
            <w:r w:rsidRPr="00790C86">
              <w:rPr>
                <w:rFonts w:cs="Arial"/>
              </w:rPr>
              <w:t xml:space="preserve">ffective </w:t>
            </w:r>
            <w:r w:rsidR="00BB4549">
              <w:rPr>
                <w:rFonts w:cs="Arial"/>
              </w:rPr>
              <w:t>w</w:t>
            </w:r>
            <w:r w:rsidRPr="00790C86">
              <w:rPr>
                <w:rFonts w:cs="Arial"/>
              </w:rPr>
              <w:t xml:space="preserve">orking </w:t>
            </w:r>
            <w:r w:rsidR="00BB4549">
              <w:rPr>
                <w:rFonts w:cs="Arial"/>
              </w:rPr>
              <w:t>r</w:t>
            </w:r>
            <w:r w:rsidRPr="00790C86">
              <w:rPr>
                <w:rFonts w:cs="Arial"/>
              </w:rPr>
              <w:t xml:space="preserve">elationships with </w:t>
            </w:r>
            <w:r w:rsidR="00BB4549">
              <w:rPr>
                <w:rFonts w:cs="Arial"/>
              </w:rPr>
              <w:t>c</w:t>
            </w:r>
            <w:r w:rsidRPr="00790C86">
              <w:rPr>
                <w:rFonts w:cs="Arial"/>
              </w:rPr>
              <w:t xml:space="preserve">olleagues in </w:t>
            </w:r>
            <w:r w:rsidR="00BB4549">
              <w:rPr>
                <w:rFonts w:cs="Arial"/>
              </w:rPr>
              <w:t>l</w:t>
            </w:r>
            <w:r w:rsidRPr="00790C86">
              <w:rPr>
                <w:rFonts w:cs="Arial"/>
              </w:rPr>
              <w:t xml:space="preserve">ogistics </w:t>
            </w:r>
            <w:r w:rsidR="00BB4549">
              <w:rPr>
                <w:rFonts w:cs="Arial"/>
              </w:rPr>
              <w:t>o</w:t>
            </w:r>
            <w:r w:rsidRPr="00790C86">
              <w:rPr>
                <w:rFonts w:cs="Arial"/>
              </w:rPr>
              <w:t xml:space="preserve">perations </w:t>
            </w:r>
            <w:r w:rsidRPr="00790C86">
              <w:rPr>
                <w:rFonts w:cs="Arial"/>
                <w:lang w:val="en-US"/>
              </w:rPr>
              <w:t xml:space="preserve"> (4 credits)</w:t>
            </w:r>
          </w:p>
          <w:p w:rsidR="00BF59E8" w:rsidRDefault="00BF59E8" w:rsidP="00AA7AF4">
            <w:pPr>
              <w:pStyle w:val="NormalWeb"/>
              <w:spacing w:before="0" w:beforeAutospacing="0" w:after="0" w:afterAutospacing="0"/>
              <w:rPr>
                <w:rFonts w:ascii="Arial" w:hAnsi="Arial" w:cs="Arial"/>
                <w:sz w:val="22"/>
                <w:szCs w:val="22"/>
              </w:rPr>
            </w:pPr>
          </w:p>
          <w:p w:rsidR="00AA7AF4" w:rsidRDefault="00AA7AF4" w:rsidP="00AA7AF4">
            <w:pPr>
              <w:pStyle w:val="NormalWeb"/>
              <w:spacing w:before="0" w:beforeAutospacing="0" w:after="0" w:afterAutospacing="0"/>
              <w:rPr>
                <w:rFonts w:ascii="Arial" w:hAnsi="Arial" w:cs="Arial"/>
                <w:sz w:val="22"/>
                <w:szCs w:val="22"/>
              </w:rPr>
            </w:pPr>
            <w:r>
              <w:rPr>
                <w:rFonts w:ascii="Arial" w:hAnsi="Arial" w:cs="Arial"/>
                <w:sz w:val="22"/>
                <w:szCs w:val="22"/>
              </w:rPr>
              <w:t xml:space="preserve">The remaining </w:t>
            </w:r>
            <w:r w:rsidR="00ED45DD">
              <w:rPr>
                <w:rFonts w:ascii="Arial" w:hAnsi="Arial" w:cs="Arial"/>
                <w:sz w:val="22"/>
                <w:szCs w:val="22"/>
              </w:rPr>
              <w:t xml:space="preserve">19 </w:t>
            </w:r>
            <w:r>
              <w:rPr>
                <w:rFonts w:ascii="Arial" w:hAnsi="Arial" w:cs="Arial"/>
                <w:sz w:val="22"/>
                <w:szCs w:val="22"/>
              </w:rPr>
              <w:t xml:space="preserve">credits will be obtained through a range of optional units which include </w:t>
            </w:r>
            <w:r w:rsidRPr="00790C86">
              <w:rPr>
                <w:rFonts w:ascii="Arial" w:hAnsi="Arial" w:cs="Arial"/>
                <w:sz w:val="22"/>
                <w:szCs w:val="22"/>
              </w:rPr>
              <w:t>picking and packing of goods; maintenance of stock levels in the warehouse; customer service; operation of equipment like forklift trucks and hoists); cleanliness and hygiene.</w:t>
            </w:r>
          </w:p>
          <w:p w:rsidR="00AA7AF4" w:rsidRDefault="00AA7AF4" w:rsidP="00AA7AF4">
            <w:pPr>
              <w:pStyle w:val="NormalWeb"/>
              <w:spacing w:before="0" w:beforeAutospacing="0" w:after="0" w:afterAutospacing="0"/>
              <w:rPr>
                <w:rFonts w:ascii="Arial" w:hAnsi="Arial" w:cs="Arial"/>
                <w:sz w:val="22"/>
                <w:szCs w:val="22"/>
              </w:rPr>
            </w:pPr>
          </w:p>
          <w:p w:rsidR="00AA7AF4" w:rsidRDefault="00AA7AF4" w:rsidP="00AA7AF4">
            <w:pPr>
              <w:pStyle w:val="NormalWeb"/>
              <w:spacing w:before="0" w:beforeAutospacing="0" w:after="0" w:afterAutospacing="0"/>
              <w:rPr>
                <w:rFonts w:ascii="Arial" w:hAnsi="Arial" w:cs="Arial"/>
                <w:sz w:val="22"/>
                <w:szCs w:val="22"/>
              </w:rPr>
            </w:pPr>
            <w:r>
              <w:rPr>
                <w:rFonts w:ascii="Arial" w:hAnsi="Arial" w:cs="Arial"/>
                <w:sz w:val="22"/>
                <w:szCs w:val="22"/>
              </w:rPr>
              <w:t xml:space="preserve">The qualification structure can be viewed by clicking </w:t>
            </w:r>
            <w:hyperlink r:id="rId8" w:history="1">
              <w:r w:rsidRPr="00BF59E8">
                <w:rPr>
                  <w:rStyle w:val="Hyperlink"/>
                  <w:rFonts w:ascii="Arial" w:hAnsi="Arial" w:cs="Arial"/>
                  <w:sz w:val="22"/>
                  <w:szCs w:val="22"/>
                </w:rPr>
                <w:t>here</w:t>
              </w:r>
            </w:hyperlink>
            <w:r>
              <w:rPr>
                <w:rFonts w:ascii="Arial" w:hAnsi="Arial" w:cs="Arial"/>
                <w:sz w:val="22"/>
                <w:szCs w:val="22"/>
              </w:rPr>
              <w:t>.</w:t>
            </w:r>
          </w:p>
          <w:p w:rsidR="00AA7AF4" w:rsidRDefault="00AA7AF4" w:rsidP="00BB4549">
            <w:pPr>
              <w:pStyle w:val="NormalWeb"/>
              <w:spacing w:before="0" w:beforeAutospacing="0" w:after="0" w:afterAutospacing="0"/>
              <w:rPr>
                <w:rFonts w:ascii="Arial" w:hAnsi="Arial" w:cs="Arial"/>
              </w:rPr>
            </w:pPr>
          </w:p>
          <w:p w:rsidR="00ED45DD" w:rsidRDefault="00ED45DD" w:rsidP="00BB4549">
            <w:pPr>
              <w:pStyle w:val="NormalWeb"/>
              <w:spacing w:before="0" w:beforeAutospacing="0" w:after="0" w:afterAutospacing="0"/>
              <w:rPr>
                <w:rFonts w:ascii="Arial" w:hAnsi="Arial" w:cs="Arial"/>
              </w:rPr>
            </w:pPr>
          </w:p>
          <w:p w:rsidR="00ED45DD" w:rsidRDefault="00ED45DD" w:rsidP="00BB4549">
            <w:pPr>
              <w:pStyle w:val="NormalWeb"/>
              <w:spacing w:before="0" w:beforeAutospacing="0" w:after="0" w:afterAutospacing="0"/>
              <w:rPr>
                <w:rFonts w:ascii="Arial" w:hAnsi="Arial" w:cs="Arial"/>
              </w:rPr>
            </w:pPr>
          </w:p>
          <w:p w:rsidR="00AA7AF4" w:rsidRDefault="00AA7AF4" w:rsidP="00AA7AF4">
            <w:pPr>
              <w:pStyle w:val="NormalWeb"/>
              <w:spacing w:before="0" w:beforeAutospacing="0" w:after="0" w:afterAutospacing="0"/>
              <w:rPr>
                <w:rFonts w:ascii="Arial" w:hAnsi="Arial" w:cs="Arial"/>
              </w:rPr>
            </w:pPr>
          </w:p>
          <w:tbl>
            <w:tblPr>
              <w:tblW w:w="7385" w:type="dxa"/>
              <w:tblInd w:w="60" w:type="dxa"/>
              <w:tblCellMar>
                <w:left w:w="0" w:type="dxa"/>
                <w:right w:w="0" w:type="dxa"/>
              </w:tblCellMar>
              <w:tblLook w:val="04A0" w:firstRow="1" w:lastRow="0" w:firstColumn="1" w:lastColumn="0" w:noHBand="0" w:noVBand="1"/>
            </w:tblPr>
            <w:tblGrid>
              <w:gridCol w:w="7385"/>
            </w:tblGrid>
            <w:tr w:rsidR="001F5F07" w:rsidRPr="00790C86" w:rsidTr="00812999">
              <w:trPr>
                <w:trHeight w:val="60"/>
              </w:trPr>
              <w:tc>
                <w:tcPr>
                  <w:tcW w:w="0" w:type="auto"/>
                  <w:noWrap/>
                  <w:vAlign w:val="center"/>
                  <w:hideMark/>
                </w:tcPr>
                <w:p w:rsidR="00EB7E4A" w:rsidRPr="00790C86" w:rsidRDefault="00EB7E4A" w:rsidP="00316DF7">
                  <w:pPr>
                    <w:spacing w:after="0" w:line="240" w:lineRule="auto"/>
                    <w:ind w:left="57"/>
                    <w:rPr>
                      <w:rFonts w:ascii="Arial" w:eastAsia="Times New Roman" w:hAnsi="Arial" w:cs="Arial"/>
                      <w:lang w:eastAsia="en-GB"/>
                    </w:rPr>
                  </w:pPr>
                </w:p>
              </w:tc>
            </w:tr>
          </w:tbl>
          <w:p w:rsidR="00B64489" w:rsidRPr="00790C86" w:rsidRDefault="00B64489" w:rsidP="00C72902">
            <w:pPr>
              <w:pStyle w:val="ListParagraph"/>
              <w:autoSpaceDE w:val="0"/>
              <w:autoSpaceDN w:val="0"/>
              <w:adjustRightInd w:val="0"/>
              <w:rPr>
                <w:rFonts w:ascii="Arial" w:hAnsi="Arial" w:cs="Arial"/>
              </w:rPr>
            </w:pPr>
          </w:p>
        </w:tc>
      </w:tr>
      <w:tr w:rsidR="001F5F07" w:rsidRPr="001F5F07" w:rsidTr="002C44BE">
        <w:tc>
          <w:tcPr>
            <w:tcW w:w="2230" w:type="dxa"/>
          </w:tcPr>
          <w:p w:rsidR="003C37F8" w:rsidRPr="001F5F07" w:rsidRDefault="003C37F8" w:rsidP="00316DF7">
            <w:pPr>
              <w:pStyle w:val="Default"/>
              <w:rPr>
                <w:b/>
                <w:color w:val="auto"/>
                <w:sz w:val="22"/>
                <w:szCs w:val="22"/>
              </w:rPr>
            </w:pPr>
            <w:r w:rsidRPr="001F5F07">
              <w:rPr>
                <w:b/>
                <w:color w:val="auto"/>
                <w:sz w:val="22"/>
                <w:szCs w:val="22"/>
              </w:rPr>
              <w:lastRenderedPageBreak/>
              <w:t>Who is the qualification for?</w:t>
            </w:r>
          </w:p>
        </w:tc>
        <w:tc>
          <w:tcPr>
            <w:tcW w:w="282" w:type="dxa"/>
          </w:tcPr>
          <w:p w:rsidR="003C37F8" w:rsidRPr="001F5F07" w:rsidRDefault="003C37F8" w:rsidP="00316DF7">
            <w:pPr>
              <w:pStyle w:val="Default"/>
              <w:rPr>
                <w:color w:val="auto"/>
                <w:sz w:val="22"/>
                <w:szCs w:val="22"/>
              </w:rPr>
            </w:pPr>
          </w:p>
        </w:tc>
        <w:tc>
          <w:tcPr>
            <w:tcW w:w="7661" w:type="dxa"/>
          </w:tcPr>
          <w:tbl>
            <w:tblPr>
              <w:tblW w:w="0" w:type="auto"/>
              <w:tblBorders>
                <w:top w:val="nil"/>
                <w:left w:val="nil"/>
                <w:bottom w:val="nil"/>
                <w:right w:val="nil"/>
              </w:tblBorders>
              <w:tblLook w:val="0000" w:firstRow="0" w:lastRow="0" w:firstColumn="0" w:lastColumn="0" w:noHBand="0" w:noVBand="0"/>
            </w:tblPr>
            <w:tblGrid>
              <w:gridCol w:w="7445"/>
            </w:tblGrid>
            <w:tr w:rsidR="0034510E" w:rsidRPr="0034510E">
              <w:trPr>
                <w:trHeight w:val="140"/>
              </w:trPr>
              <w:tc>
                <w:tcPr>
                  <w:tcW w:w="0" w:type="auto"/>
                </w:tcPr>
                <w:p w:rsidR="0034510E" w:rsidRPr="0034510E" w:rsidRDefault="00093D74" w:rsidP="0034510E">
                  <w:pPr>
                    <w:autoSpaceDE w:val="0"/>
                    <w:autoSpaceDN w:val="0"/>
                    <w:adjustRightInd w:val="0"/>
                    <w:spacing w:after="0" w:line="240" w:lineRule="auto"/>
                    <w:rPr>
                      <w:rFonts w:ascii="Arial" w:hAnsi="Arial" w:cs="Arial"/>
                      <w:color w:val="000000"/>
                    </w:rPr>
                  </w:pPr>
                  <w:r w:rsidRPr="0034510E">
                    <w:rPr>
                      <w:rFonts w:ascii="Arial" w:hAnsi="Arial" w:cs="Arial"/>
                    </w:rPr>
                    <w:t xml:space="preserve">This qualification can be taken by employees </w:t>
                  </w:r>
                  <w:r w:rsidR="00B84139" w:rsidRPr="0034510E">
                    <w:rPr>
                      <w:rFonts w:ascii="Arial" w:hAnsi="Arial" w:cs="Arial"/>
                    </w:rPr>
                    <w:t>working in</w:t>
                  </w:r>
                  <w:r w:rsidR="0034510E" w:rsidRPr="0034510E">
                    <w:rPr>
                      <w:rFonts w:ascii="Arial" w:hAnsi="Arial" w:cs="Arial"/>
                    </w:rPr>
                    <w:t xml:space="preserve"> logistics operations such as warehousing and storage, transport or freight forwarding and may be of interest to you if you: </w:t>
                  </w:r>
                </w:p>
              </w:tc>
            </w:tr>
          </w:tbl>
          <w:p w:rsidR="00B84139" w:rsidRPr="001F5F07" w:rsidRDefault="00B84139" w:rsidP="004E0AB1">
            <w:pPr>
              <w:pStyle w:val="Default"/>
              <w:numPr>
                <w:ilvl w:val="0"/>
                <w:numId w:val="29"/>
              </w:numPr>
              <w:rPr>
                <w:color w:val="auto"/>
                <w:sz w:val="22"/>
                <w:szCs w:val="22"/>
              </w:rPr>
            </w:pPr>
            <w:r w:rsidRPr="001F5F07">
              <w:rPr>
                <w:color w:val="auto"/>
                <w:sz w:val="22"/>
                <w:szCs w:val="22"/>
              </w:rPr>
              <w:t xml:space="preserve">have already completed </w:t>
            </w:r>
            <w:r w:rsidR="00AA7AF4">
              <w:rPr>
                <w:color w:val="auto"/>
                <w:sz w:val="22"/>
                <w:szCs w:val="22"/>
              </w:rPr>
              <w:t xml:space="preserve">a level 1 Award or Certificate in Warehousing and Storage and now </w:t>
            </w:r>
            <w:r w:rsidRPr="001F5F07">
              <w:rPr>
                <w:color w:val="auto"/>
                <w:sz w:val="22"/>
                <w:szCs w:val="22"/>
              </w:rPr>
              <w:t>want to progress your career further within the industry</w:t>
            </w:r>
          </w:p>
          <w:p w:rsidR="004E0AB1" w:rsidRPr="001F5F07" w:rsidRDefault="004E0AB1" w:rsidP="004E0AB1">
            <w:pPr>
              <w:pStyle w:val="Default"/>
              <w:numPr>
                <w:ilvl w:val="0"/>
                <w:numId w:val="29"/>
              </w:numPr>
              <w:rPr>
                <w:color w:val="auto"/>
                <w:sz w:val="22"/>
                <w:szCs w:val="22"/>
              </w:rPr>
            </w:pPr>
            <w:r w:rsidRPr="001F5F07">
              <w:rPr>
                <w:color w:val="auto"/>
                <w:sz w:val="22"/>
                <w:szCs w:val="22"/>
              </w:rPr>
              <w:t xml:space="preserve">are wishing to enter the industry and just </w:t>
            </w:r>
            <w:r w:rsidR="00B84139" w:rsidRPr="001F5F07">
              <w:rPr>
                <w:color w:val="auto"/>
                <w:sz w:val="22"/>
                <w:szCs w:val="22"/>
              </w:rPr>
              <w:t>start</w:t>
            </w:r>
            <w:r w:rsidR="000E0BD9" w:rsidRPr="001F5F07">
              <w:rPr>
                <w:color w:val="auto"/>
                <w:sz w:val="22"/>
                <w:szCs w:val="22"/>
              </w:rPr>
              <w:t>ing</w:t>
            </w:r>
            <w:r w:rsidR="00B84139" w:rsidRPr="001F5F07">
              <w:rPr>
                <w:color w:val="auto"/>
                <w:sz w:val="22"/>
                <w:szCs w:val="22"/>
              </w:rPr>
              <w:t xml:space="preserve"> your career </w:t>
            </w:r>
            <w:r w:rsidR="00AA7AF4">
              <w:rPr>
                <w:color w:val="auto"/>
                <w:sz w:val="22"/>
                <w:szCs w:val="22"/>
              </w:rPr>
              <w:t>as a Warehouse Operative</w:t>
            </w:r>
          </w:p>
          <w:p w:rsidR="00B84139" w:rsidRPr="001F5F07" w:rsidRDefault="000E0BD9" w:rsidP="004E0AB1">
            <w:pPr>
              <w:pStyle w:val="Default"/>
              <w:numPr>
                <w:ilvl w:val="0"/>
                <w:numId w:val="29"/>
              </w:numPr>
              <w:rPr>
                <w:color w:val="auto"/>
                <w:sz w:val="22"/>
                <w:szCs w:val="22"/>
              </w:rPr>
            </w:pPr>
            <w:proofErr w:type="gramStart"/>
            <w:r w:rsidRPr="001F5F07">
              <w:rPr>
                <w:color w:val="auto"/>
                <w:sz w:val="22"/>
                <w:szCs w:val="22"/>
              </w:rPr>
              <w:t>wishing</w:t>
            </w:r>
            <w:proofErr w:type="gramEnd"/>
            <w:r w:rsidRPr="001F5F07">
              <w:rPr>
                <w:color w:val="auto"/>
                <w:sz w:val="22"/>
                <w:szCs w:val="22"/>
              </w:rPr>
              <w:t xml:space="preserve"> to transfer from another career</w:t>
            </w:r>
            <w:r w:rsidR="00670711" w:rsidRPr="001F5F07">
              <w:rPr>
                <w:color w:val="auto"/>
                <w:sz w:val="22"/>
                <w:szCs w:val="22"/>
              </w:rPr>
              <w:t>.</w:t>
            </w:r>
            <w:r w:rsidRPr="001F5F07">
              <w:rPr>
                <w:color w:val="auto"/>
                <w:sz w:val="22"/>
                <w:szCs w:val="22"/>
              </w:rPr>
              <w:t xml:space="preserve"> </w:t>
            </w:r>
            <w:r w:rsidR="00B84139" w:rsidRPr="001F5F07">
              <w:rPr>
                <w:color w:val="auto"/>
                <w:sz w:val="22"/>
                <w:szCs w:val="22"/>
              </w:rPr>
              <w:t xml:space="preserve"> </w:t>
            </w:r>
          </w:p>
          <w:p w:rsidR="00C941B9" w:rsidRPr="001F5F07" w:rsidRDefault="00C941B9" w:rsidP="00316DF7">
            <w:pPr>
              <w:pStyle w:val="Default"/>
              <w:rPr>
                <w:color w:val="auto"/>
                <w:sz w:val="22"/>
                <w:szCs w:val="22"/>
              </w:rPr>
            </w:pPr>
          </w:p>
          <w:p w:rsidR="00316DF7" w:rsidRPr="001F5F07" w:rsidRDefault="00316DF7" w:rsidP="00AF4701">
            <w:pPr>
              <w:pStyle w:val="Default"/>
              <w:rPr>
                <w:color w:val="auto"/>
                <w:sz w:val="22"/>
                <w:szCs w:val="22"/>
              </w:rPr>
            </w:pPr>
          </w:p>
        </w:tc>
      </w:tr>
      <w:tr w:rsidR="001F5F07" w:rsidRPr="001F5F07" w:rsidTr="002C44BE">
        <w:tc>
          <w:tcPr>
            <w:tcW w:w="2230" w:type="dxa"/>
          </w:tcPr>
          <w:p w:rsidR="003C37F8" w:rsidRPr="001F5F07" w:rsidRDefault="003C37F8" w:rsidP="00316DF7">
            <w:pPr>
              <w:pStyle w:val="Default"/>
              <w:rPr>
                <w:b/>
                <w:color w:val="auto"/>
                <w:sz w:val="22"/>
                <w:szCs w:val="22"/>
              </w:rPr>
            </w:pPr>
            <w:r w:rsidRPr="001F5F07">
              <w:rPr>
                <w:b/>
                <w:color w:val="auto"/>
                <w:sz w:val="22"/>
                <w:szCs w:val="22"/>
              </w:rPr>
              <w:t>Age range</w:t>
            </w:r>
          </w:p>
        </w:tc>
        <w:tc>
          <w:tcPr>
            <w:tcW w:w="282" w:type="dxa"/>
          </w:tcPr>
          <w:p w:rsidR="003C37F8" w:rsidRPr="001F5F07" w:rsidRDefault="003C37F8" w:rsidP="00316DF7">
            <w:pPr>
              <w:pStyle w:val="Default"/>
              <w:rPr>
                <w:color w:val="auto"/>
                <w:sz w:val="22"/>
                <w:szCs w:val="22"/>
              </w:rPr>
            </w:pPr>
          </w:p>
        </w:tc>
        <w:tc>
          <w:tcPr>
            <w:tcW w:w="7661" w:type="dxa"/>
          </w:tcPr>
          <w:p w:rsidR="00882434" w:rsidRPr="001F5F07" w:rsidRDefault="0055434A" w:rsidP="00316DF7">
            <w:pPr>
              <w:pStyle w:val="Default"/>
              <w:rPr>
                <w:color w:val="auto"/>
                <w:sz w:val="22"/>
                <w:szCs w:val="22"/>
              </w:rPr>
            </w:pPr>
            <w:r w:rsidRPr="001F5F07">
              <w:rPr>
                <w:color w:val="auto"/>
                <w:sz w:val="22"/>
                <w:szCs w:val="22"/>
              </w:rPr>
              <w:t>This qualification is approved for 16 – 18 year olds, and 19 + learners.</w:t>
            </w:r>
          </w:p>
          <w:p w:rsidR="00B4241A" w:rsidRPr="001F5F07" w:rsidRDefault="00C1311F" w:rsidP="00316DF7">
            <w:pPr>
              <w:pStyle w:val="Default"/>
              <w:rPr>
                <w:color w:val="auto"/>
                <w:sz w:val="22"/>
                <w:szCs w:val="22"/>
              </w:rPr>
            </w:pPr>
            <w:r w:rsidRPr="001F5F07">
              <w:rPr>
                <w:color w:val="auto"/>
                <w:sz w:val="22"/>
                <w:szCs w:val="22"/>
              </w:rPr>
              <w:t xml:space="preserve"> </w:t>
            </w:r>
          </w:p>
          <w:p w:rsidR="00C941B9" w:rsidRPr="001F5F07" w:rsidRDefault="00C941B9">
            <w:pPr>
              <w:pStyle w:val="Default"/>
              <w:rPr>
                <w:color w:val="auto"/>
                <w:sz w:val="22"/>
                <w:szCs w:val="22"/>
              </w:rPr>
            </w:pPr>
          </w:p>
        </w:tc>
      </w:tr>
      <w:tr w:rsidR="001F5F07" w:rsidRPr="001F5F07" w:rsidTr="002C44BE">
        <w:tc>
          <w:tcPr>
            <w:tcW w:w="2230" w:type="dxa"/>
          </w:tcPr>
          <w:p w:rsidR="003C37F8" w:rsidRPr="001F5F07" w:rsidRDefault="003C37F8" w:rsidP="00316DF7">
            <w:pPr>
              <w:pStyle w:val="Default"/>
              <w:rPr>
                <w:b/>
                <w:color w:val="auto"/>
                <w:sz w:val="22"/>
                <w:szCs w:val="22"/>
              </w:rPr>
            </w:pPr>
            <w:r w:rsidRPr="001F5F07">
              <w:rPr>
                <w:b/>
                <w:color w:val="auto"/>
                <w:sz w:val="22"/>
                <w:szCs w:val="22"/>
              </w:rPr>
              <w:t>Entry requirements</w:t>
            </w:r>
          </w:p>
          <w:p w:rsidR="00B5348B" w:rsidRPr="001F5F07" w:rsidRDefault="00B5348B" w:rsidP="00316DF7">
            <w:pPr>
              <w:pStyle w:val="Default"/>
              <w:rPr>
                <w:b/>
                <w:color w:val="auto"/>
                <w:sz w:val="22"/>
                <w:szCs w:val="22"/>
              </w:rPr>
            </w:pPr>
          </w:p>
          <w:p w:rsidR="00B5348B" w:rsidRPr="001F5F07" w:rsidRDefault="00B5348B" w:rsidP="00316DF7">
            <w:pPr>
              <w:pStyle w:val="Default"/>
              <w:rPr>
                <w:b/>
                <w:color w:val="auto"/>
                <w:sz w:val="22"/>
                <w:szCs w:val="22"/>
              </w:rPr>
            </w:pPr>
          </w:p>
          <w:p w:rsidR="00B5348B" w:rsidRPr="001F5F07" w:rsidRDefault="00B5348B" w:rsidP="00316DF7">
            <w:pPr>
              <w:pStyle w:val="Default"/>
              <w:rPr>
                <w:b/>
                <w:color w:val="auto"/>
                <w:sz w:val="22"/>
                <w:szCs w:val="22"/>
              </w:rPr>
            </w:pPr>
            <w:r w:rsidRPr="001F5F07">
              <w:rPr>
                <w:b/>
                <w:color w:val="auto"/>
                <w:sz w:val="22"/>
                <w:szCs w:val="22"/>
              </w:rPr>
              <w:t>Apprenticeships</w:t>
            </w:r>
            <w:r w:rsidR="007A365A" w:rsidRPr="001F5F07">
              <w:rPr>
                <w:b/>
                <w:color w:val="auto"/>
                <w:sz w:val="22"/>
                <w:szCs w:val="22"/>
              </w:rPr>
              <w:t>/</w:t>
            </w:r>
          </w:p>
          <w:p w:rsidR="007A365A" w:rsidRPr="001F5F07" w:rsidRDefault="007A365A" w:rsidP="00316DF7">
            <w:pPr>
              <w:pStyle w:val="Default"/>
              <w:rPr>
                <w:b/>
                <w:color w:val="auto"/>
                <w:sz w:val="22"/>
                <w:szCs w:val="22"/>
              </w:rPr>
            </w:pPr>
            <w:r w:rsidRPr="001F5F07">
              <w:rPr>
                <w:b/>
                <w:color w:val="auto"/>
                <w:sz w:val="22"/>
                <w:szCs w:val="22"/>
              </w:rPr>
              <w:t>Other qualifications</w:t>
            </w:r>
          </w:p>
        </w:tc>
        <w:tc>
          <w:tcPr>
            <w:tcW w:w="282" w:type="dxa"/>
          </w:tcPr>
          <w:p w:rsidR="003C37F8" w:rsidRPr="001F5F07" w:rsidRDefault="003C37F8" w:rsidP="00316DF7">
            <w:pPr>
              <w:pStyle w:val="Default"/>
              <w:rPr>
                <w:color w:val="auto"/>
                <w:sz w:val="22"/>
                <w:szCs w:val="22"/>
              </w:rPr>
            </w:pPr>
          </w:p>
        </w:tc>
        <w:tc>
          <w:tcPr>
            <w:tcW w:w="7661" w:type="dxa"/>
          </w:tcPr>
          <w:p w:rsidR="006E12BB" w:rsidRDefault="006E12BB" w:rsidP="006E12BB">
            <w:pPr>
              <w:rPr>
                <w:rFonts w:ascii="Arial" w:hAnsi="Arial" w:cs="Arial"/>
              </w:rPr>
            </w:pPr>
            <w:r w:rsidRPr="001F5F07">
              <w:rPr>
                <w:rFonts w:ascii="Arial" w:hAnsi="Arial" w:cs="Arial"/>
              </w:rPr>
              <w:t>You don’t need to have any specific prior learning requirements to take this qualification, but you may find it helpful if you’ve already completed a level 1 qualification.</w:t>
            </w:r>
          </w:p>
          <w:p w:rsidR="005D2D23" w:rsidRDefault="005D2D23" w:rsidP="00510557">
            <w:pPr>
              <w:pStyle w:val="Default"/>
              <w:rPr>
                <w:color w:val="auto"/>
                <w:sz w:val="22"/>
                <w:szCs w:val="22"/>
              </w:rPr>
            </w:pPr>
          </w:p>
          <w:p w:rsidR="008E23CF" w:rsidRDefault="0034510E" w:rsidP="0034510E">
            <w:pPr>
              <w:pStyle w:val="Default"/>
              <w:rPr>
                <w:sz w:val="22"/>
                <w:szCs w:val="22"/>
              </w:rPr>
            </w:pPr>
            <w:r>
              <w:rPr>
                <w:color w:val="auto"/>
                <w:sz w:val="22"/>
                <w:szCs w:val="22"/>
              </w:rPr>
              <w:t>T</w:t>
            </w:r>
            <w:r>
              <w:rPr>
                <w:sz w:val="22"/>
                <w:szCs w:val="22"/>
              </w:rPr>
              <w:t xml:space="preserve">his qualification is included within the </w:t>
            </w:r>
            <w:r w:rsidR="00DE2C48">
              <w:rPr>
                <w:sz w:val="22"/>
                <w:szCs w:val="22"/>
              </w:rPr>
              <w:t xml:space="preserve">Intermediate Warehousing and Storage Apprenticeship framework.  </w:t>
            </w:r>
            <w:r>
              <w:rPr>
                <w:sz w:val="22"/>
                <w:szCs w:val="22"/>
              </w:rPr>
              <w:t xml:space="preserve">You may wish to do this qualification as part of the Apprenticeship, or on its own.   </w:t>
            </w:r>
            <w:r w:rsidR="008E23CF">
              <w:rPr>
                <w:sz w:val="22"/>
                <w:szCs w:val="22"/>
              </w:rPr>
              <w:t>If you complete this qualification as part of the Apprenticeship you will be required to undergo additional training, over and above the core qualification, in areas including employment rights and responsibility and/or English and maths.</w:t>
            </w:r>
          </w:p>
          <w:p w:rsidR="008E23CF" w:rsidRDefault="008E23CF" w:rsidP="0034510E">
            <w:pPr>
              <w:pStyle w:val="Default"/>
              <w:rPr>
                <w:sz w:val="22"/>
                <w:szCs w:val="22"/>
              </w:rPr>
            </w:pPr>
          </w:p>
          <w:p w:rsidR="0034510E" w:rsidRDefault="0034510E" w:rsidP="0034510E">
            <w:pPr>
              <w:pStyle w:val="Default"/>
              <w:rPr>
                <w:sz w:val="22"/>
                <w:szCs w:val="22"/>
              </w:rPr>
            </w:pPr>
            <w:r>
              <w:rPr>
                <w:sz w:val="22"/>
                <w:szCs w:val="22"/>
              </w:rPr>
              <w:t>You may wish to consider taking this qualification outside of the Apprenticeship framework:</w:t>
            </w:r>
          </w:p>
          <w:p w:rsidR="0034510E" w:rsidRDefault="0034510E" w:rsidP="0034510E">
            <w:pPr>
              <w:pStyle w:val="Default"/>
              <w:numPr>
                <w:ilvl w:val="0"/>
                <w:numId w:val="37"/>
              </w:numPr>
              <w:rPr>
                <w:sz w:val="22"/>
                <w:szCs w:val="22"/>
              </w:rPr>
            </w:pPr>
            <w:r>
              <w:rPr>
                <w:sz w:val="22"/>
                <w:szCs w:val="22"/>
              </w:rPr>
              <w:t>to maximise your empl</w:t>
            </w:r>
            <w:r w:rsidR="00DE2C48">
              <w:rPr>
                <w:sz w:val="22"/>
                <w:szCs w:val="22"/>
              </w:rPr>
              <w:t>oyment opportunities within this sector</w:t>
            </w:r>
            <w:r>
              <w:rPr>
                <w:sz w:val="22"/>
                <w:szCs w:val="22"/>
              </w:rPr>
              <w:t>, as not all employers offer Apprenticeship places for this particular job role</w:t>
            </w:r>
          </w:p>
          <w:p w:rsidR="0034510E" w:rsidRDefault="00DE2C48" w:rsidP="0034510E">
            <w:pPr>
              <w:pStyle w:val="Default"/>
              <w:numPr>
                <w:ilvl w:val="0"/>
                <w:numId w:val="37"/>
              </w:numPr>
              <w:rPr>
                <w:sz w:val="22"/>
                <w:szCs w:val="22"/>
              </w:rPr>
            </w:pPr>
            <w:r>
              <w:rPr>
                <w:sz w:val="22"/>
                <w:szCs w:val="22"/>
              </w:rPr>
              <w:t>t</w:t>
            </w:r>
            <w:r w:rsidR="0034510E">
              <w:rPr>
                <w:sz w:val="22"/>
                <w:szCs w:val="22"/>
              </w:rPr>
              <w:t>he full Apprenticeship may not be relevant if you are already</w:t>
            </w:r>
            <w:r w:rsidR="005B2171">
              <w:rPr>
                <w:sz w:val="22"/>
                <w:szCs w:val="22"/>
              </w:rPr>
              <w:t xml:space="preserve"> in employment</w:t>
            </w:r>
            <w:r w:rsidR="0034510E">
              <w:rPr>
                <w:sz w:val="22"/>
                <w:szCs w:val="22"/>
              </w:rPr>
              <w:t xml:space="preserve"> but wish to gain recognition and/or certification for your </w:t>
            </w:r>
            <w:r>
              <w:rPr>
                <w:sz w:val="22"/>
                <w:szCs w:val="22"/>
              </w:rPr>
              <w:t xml:space="preserve">skills </w:t>
            </w:r>
          </w:p>
          <w:p w:rsidR="0034510E" w:rsidRDefault="0034510E" w:rsidP="0034510E">
            <w:pPr>
              <w:pStyle w:val="Default"/>
              <w:numPr>
                <w:ilvl w:val="0"/>
                <w:numId w:val="37"/>
              </w:numPr>
              <w:rPr>
                <w:sz w:val="22"/>
                <w:szCs w:val="22"/>
              </w:rPr>
            </w:pPr>
            <w:r>
              <w:rPr>
                <w:sz w:val="22"/>
                <w:szCs w:val="22"/>
              </w:rPr>
              <w:t>you meet the entry requirements to take the qualification but not those required for the apprenticeship route</w:t>
            </w:r>
          </w:p>
          <w:p w:rsidR="0034510E" w:rsidRDefault="0034510E" w:rsidP="00510557">
            <w:pPr>
              <w:pStyle w:val="Default"/>
              <w:rPr>
                <w:color w:val="auto"/>
                <w:sz w:val="22"/>
                <w:szCs w:val="22"/>
              </w:rPr>
            </w:pPr>
          </w:p>
          <w:p w:rsidR="00A87726" w:rsidRDefault="00A87726" w:rsidP="00510557">
            <w:pPr>
              <w:pStyle w:val="Default"/>
              <w:rPr>
                <w:color w:val="auto"/>
                <w:sz w:val="22"/>
                <w:szCs w:val="22"/>
              </w:rPr>
            </w:pPr>
            <w:r>
              <w:rPr>
                <w:color w:val="auto"/>
                <w:sz w:val="22"/>
                <w:szCs w:val="22"/>
              </w:rPr>
              <w:t xml:space="preserve">Other </w:t>
            </w:r>
            <w:r w:rsidR="00DE2C48">
              <w:rPr>
                <w:color w:val="auto"/>
                <w:sz w:val="22"/>
                <w:szCs w:val="22"/>
              </w:rPr>
              <w:t>qualifications specific to warehousing and storage are</w:t>
            </w:r>
            <w:r>
              <w:rPr>
                <w:color w:val="auto"/>
                <w:sz w:val="22"/>
                <w:szCs w:val="22"/>
              </w:rPr>
              <w:t>:</w:t>
            </w:r>
          </w:p>
          <w:p w:rsidR="00A87726" w:rsidRDefault="00A87726" w:rsidP="00510557">
            <w:pPr>
              <w:pStyle w:val="Default"/>
              <w:rPr>
                <w:color w:val="auto"/>
                <w:sz w:val="22"/>
                <w:szCs w:val="22"/>
              </w:rPr>
            </w:pPr>
          </w:p>
          <w:p w:rsidR="00A87726" w:rsidRDefault="00A87726" w:rsidP="00510557">
            <w:pPr>
              <w:pStyle w:val="Default"/>
              <w:rPr>
                <w:color w:val="auto"/>
                <w:sz w:val="22"/>
                <w:szCs w:val="22"/>
              </w:rPr>
            </w:pPr>
            <w:r>
              <w:rPr>
                <w:color w:val="auto"/>
                <w:sz w:val="22"/>
                <w:szCs w:val="22"/>
              </w:rPr>
              <w:t>Level 1 Award in Warehousing and Storage – this qualification may be of interest if you are looking to gain a basic understanding of the warehousing and storage industry.</w:t>
            </w:r>
          </w:p>
          <w:p w:rsidR="00A87726" w:rsidRDefault="00A87726" w:rsidP="00510557">
            <w:pPr>
              <w:pStyle w:val="Default"/>
              <w:rPr>
                <w:color w:val="auto"/>
                <w:sz w:val="22"/>
                <w:szCs w:val="22"/>
              </w:rPr>
            </w:pPr>
          </w:p>
          <w:p w:rsidR="00A87726" w:rsidRDefault="00A87726" w:rsidP="00510557">
            <w:pPr>
              <w:pStyle w:val="Default"/>
              <w:rPr>
                <w:color w:val="auto"/>
                <w:sz w:val="22"/>
                <w:szCs w:val="22"/>
              </w:rPr>
            </w:pPr>
            <w:r>
              <w:rPr>
                <w:color w:val="auto"/>
                <w:sz w:val="22"/>
                <w:szCs w:val="22"/>
              </w:rPr>
              <w:t>Level 1 Certificate in Warehousing and Storage – this qualification allows you to gain more role-specific knowledge from a wider range of units than the Award.</w:t>
            </w:r>
          </w:p>
          <w:p w:rsidR="00A87726" w:rsidRDefault="00A87726" w:rsidP="00510557">
            <w:pPr>
              <w:pStyle w:val="Default"/>
              <w:rPr>
                <w:color w:val="auto"/>
                <w:sz w:val="22"/>
                <w:szCs w:val="22"/>
              </w:rPr>
            </w:pPr>
          </w:p>
          <w:p w:rsidR="00A87726" w:rsidRDefault="00A87726" w:rsidP="00510557">
            <w:pPr>
              <w:pStyle w:val="Default"/>
              <w:rPr>
                <w:color w:val="auto"/>
                <w:sz w:val="22"/>
                <w:szCs w:val="22"/>
              </w:rPr>
            </w:pPr>
            <w:r>
              <w:rPr>
                <w:color w:val="auto"/>
                <w:sz w:val="22"/>
                <w:szCs w:val="22"/>
              </w:rPr>
              <w:t>Level 3 Diploma in Warehousing and Storage</w:t>
            </w:r>
            <w:r w:rsidR="0084138A">
              <w:rPr>
                <w:color w:val="auto"/>
                <w:sz w:val="22"/>
                <w:szCs w:val="22"/>
              </w:rPr>
              <w:t xml:space="preserve"> – this qualification will be of relevance if you are likely to have responsibility for supervising the work of others, leading teams and responsibility for other operations.</w:t>
            </w:r>
          </w:p>
          <w:p w:rsidR="005D2D23" w:rsidRDefault="005D2D23" w:rsidP="00510557">
            <w:pPr>
              <w:pStyle w:val="Default"/>
              <w:rPr>
                <w:color w:val="auto"/>
                <w:sz w:val="22"/>
                <w:szCs w:val="22"/>
              </w:rPr>
            </w:pPr>
          </w:p>
          <w:p w:rsidR="0084138A" w:rsidRPr="001F5F07" w:rsidRDefault="0084138A" w:rsidP="00B5348B">
            <w:pPr>
              <w:pStyle w:val="Default"/>
              <w:rPr>
                <w:color w:val="auto"/>
                <w:sz w:val="22"/>
                <w:szCs w:val="22"/>
              </w:rPr>
            </w:pPr>
          </w:p>
        </w:tc>
      </w:tr>
      <w:tr w:rsidR="001F5F07" w:rsidRPr="001F5F07" w:rsidTr="002C44BE">
        <w:tc>
          <w:tcPr>
            <w:tcW w:w="2230" w:type="dxa"/>
          </w:tcPr>
          <w:p w:rsidR="00F52285" w:rsidRPr="001F5F07" w:rsidRDefault="00A76724" w:rsidP="00316DF7">
            <w:pPr>
              <w:pStyle w:val="Default"/>
              <w:rPr>
                <w:b/>
                <w:color w:val="auto"/>
                <w:sz w:val="22"/>
                <w:szCs w:val="22"/>
              </w:rPr>
            </w:pPr>
            <w:r w:rsidRPr="001F5F07">
              <w:rPr>
                <w:b/>
                <w:color w:val="auto"/>
                <w:sz w:val="22"/>
                <w:szCs w:val="22"/>
              </w:rPr>
              <w:t>What can the qualification lead to?</w:t>
            </w:r>
          </w:p>
        </w:tc>
        <w:tc>
          <w:tcPr>
            <w:tcW w:w="282" w:type="dxa"/>
          </w:tcPr>
          <w:p w:rsidR="00F52285" w:rsidRPr="001F5F07" w:rsidRDefault="00F52285" w:rsidP="00316DF7">
            <w:pPr>
              <w:pStyle w:val="Default"/>
              <w:rPr>
                <w:color w:val="auto"/>
                <w:sz w:val="22"/>
                <w:szCs w:val="22"/>
              </w:rPr>
            </w:pPr>
          </w:p>
        </w:tc>
        <w:tc>
          <w:tcPr>
            <w:tcW w:w="7661" w:type="dxa"/>
          </w:tcPr>
          <w:p w:rsidR="00664484" w:rsidRDefault="00664484" w:rsidP="00664484">
            <w:pPr>
              <w:pStyle w:val="Default"/>
            </w:pPr>
            <w:r w:rsidRPr="001F5F07">
              <w:rPr>
                <w:color w:val="auto"/>
                <w:sz w:val="22"/>
                <w:szCs w:val="22"/>
              </w:rPr>
              <w:t>Th</w:t>
            </w:r>
            <w:r w:rsidR="00FE763D">
              <w:rPr>
                <w:color w:val="auto"/>
                <w:sz w:val="22"/>
                <w:szCs w:val="22"/>
              </w:rPr>
              <w:t>is</w:t>
            </w:r>
            <w:r w:rsidRPr="001F5F07">
              <w:rPr>
                <w:color w:val="auto"/>
                <w:sz w:val="22"/>
                <w:szCs w:val="22"/>
              </w:rPr>
              <w:t xml:space="preserve"> qualification will help you if you are looking to progress further in your career</w:t>
            </w:r>
            <w:r>
              <w:rPr>
                <w:color w:val="auto"/>
                <w:sz w:val="22"/>
                <w:szCs w:val="22"/>
              </w:rPr>
              <w:t xml:space="preserve"> within a warehousing environment</w:t>
            </w:r>
            <w:r w:rsidRPr="001F5F07">
              <w:rPr>
                <w:color w:val="auto"/>
                <w:sz w:val="22"/>
                <w:szCs w:val="22"/>
              </w:rPr>
              <w:t xml:space="preserve">.  On completion you may choose to continue your learning in the workplace by taking further </w:t>
            </w:r>
            <w:r>
              <w:rPr>
                <w:color w:val="auto"/>
                <w:sz w:val="22"/>
                <w:szCs w:val="22"/>
              </w:rPr>
              <w:t>qualifications</w:t>
            </w:r>
            <w:r w:rsidR="0034510E">
              <w:rPr>
                <w:color w:val="auto"/>
                <w:sz w:val="22"/>
                <w:szCs w:val="22"/>
              </w:rPr>
              <w:t xml:space="preserve">/programmes </w:t>
            </w:r>
            <w:r>
              <w:rPr>
                <w:color w:val="auto"/>
                <w:sz w:val="22"/>
                <w:szCs w:val="22"/>
              </w:rPr>
              <w:t>relevant to your role, such as</w:t>
            </w:r>
            <w:r>
              <w:t>:</w:t>
            </w:r>
          </w:p>
          <w:p w:rsidR="00664484" w:rsidRDefault="00664484" w:rsidP="00664484">
            <w:pPr>
              <w:pStyle w:val="ListParagraph"/>
              <w:numPr>
                <w:ilvl w:val="0"/>
                <w:numId w:val="35"/>
              </w:numPr>
              <w:autoSpaceDE w:val="0"/>
              <w:autoSpaceDN w:val="0"/>
              <w:adjustRightInd w:val="0"/>
              <w:rPr>
                <w:rFonts w:ascii="Arial" w:hAnsi="Arial" w:cs="Arial"/>
              </w:rPr>
            </w:pPr>
            <w:r>
              <w:rPr>
                <w:rFonts w:ascii="Arial" w:hAnsi="Arial" w:cs="Arial"/>
              </w:rPr>
              <w:t>SQA Level 3 Diploma in Warehousing and Storage (QCF)</w:t>
            </w:r>
          </w:p>
          <w:p w:rsidR="00664484" w:rsidRDefault="00664484" w:rsidP="00664484">
            <w:pPr>
              <w:pStyle w:val="ListParagraph"/>
              <w:numPr>
                <w:ilvl w:val="0"/>
                <w:numId w:val="35"/>
              </w:numPr>
              <w:autoSpaceDE w:val="0"/>
              <w:autoSpaceDN w:val="0"/>
              <w:adjustRightInd w:val="0"/>
              <w:rPr>
                <w:rFonts w:ascii="Arial" w:hAnsi="Arial" w:cs="Arial"/>
              </w:rPr>
            </w:pPr>
            <w:r>
              <w:rPr>
                <w:rFonts w:ascii="Arial" w:hAnsi="Arial" w:cs="Arial"/>
              </w:rPr>
              <w:t>SQA Level 3 Certificate in Logistics Operations (QCF)</w:t>
            </w:r>
          </w:p>
          <w:p w:rsidR="00664484" w:rsidRPr="00664484" w:rsidRDefault="00664484" w:rsidP="00664484">
            <w:pPr>
              <w:pStyle w:val="ListParagraph"/>
              <w:numPr>
                <w:ilvl w:val="0"/>
                <w:numId w:val="35"/>
              </w:numPr>
              <w:autoSpaceDE w:val="0"/>
              <w:autoSpaceDN w:val="0"/>
              <w:adjustRightInd w:val="0"/>
              <w:rPr>
                <w:rFonts w:ascii="Arial" w:hAnsi="Arial" w:cs="Arial"/>
              </w:rPr>
            </w:pPr>
            <w:r>
              <w:rPr>
                <w:rFonts w:ascii="Arial" w:hAnsi="Arial" w:cs="Arial"/>
              </w:rPr>
              <w:t>Advanced Apprenticeship in Warehousing and Storage</w:t>
            </w:r>
          </w:p>
          <w:p w:rsidR="0039745F" w:rsidRDefault="0039745F" w:rsidP="0039745F">
            <w:pPr>
              <w:rPr>
                <w:rFonts w:ascii="Arial" w:hAnsi="Arial" w:cs="Arial"/>
                <w:b/>
              </w:rPr>
            </w:pPr>
          </w:p>
          <w:p w:rsidR="00BB4549" w:rsidRDefault="00BB4549" w:rsidP="0039745F">
            <w:pPr>
              <w:rPr>
                <w:rFonts w:ascii="Arial" w:hAnsi="Arial" w:cs="Arial"/>
                <w:b/>
              </w:rPr>
            </w:pPr>
          </w:p>
          <w:p w:rsidR="0039745F" w:rsidRDefault="0039745F" w:rsidP="0039745F">
            <w:pPr>
              <w:spacing w:before="240" w:after="240"/>
              <w:rPr>
                <w:rFonts w:ascii="Arial" w:eastAsia="Times New Roman" w:hAnsi="Arial" w:cs="Arial"/>
                <w:lang w:eastAsia="en-GB"/>
              </w:rPr>
            </w:pPr>
            <w:r w:rsidRPr="001F5F07">
              <w:rPr>
                <w:rFonts w:ascii="Arial" w:eastAsia="Times New Roman" w:hAnsi="Arial" w:cs="Arial"/>
                <w:lang w:eastAsia="en-GB"/>
              </w:rPr>
              <w:lastRenderedPageBreak/>
              <w:t>There are also opportunities to progress and gain wider experience within the logistics sector through team leading and management.</w:t>
            </w:r>
          </w:p>
          <w:p w:rsidR="00A87726" w:rsidRDefault="00A87726" w:rsidP="0039745F">
            <w:pPr>
              <w:spacing w:before="240" w:after="240"/>
              <w:rPr>
                <w:rFonts w:ascii="Arial" w:eastAsia="Times New Roman" w:hAnsi="Arial" w:cs="Arial"/>
                <w:lang w:eastAsia="en-GB"/>
              </w:rPr>
            </w:pPr>
            <w:r>
              <w:rPr>
                <w:rFonts w:ascii="Arial" w:eastAsia="Times New Roman" w:hAnsi="Arial" w:cs="Arial"/>
                <w:lang w:eastAsia="en-GB"/>
              </w:rPr>
              <w:t>This qualification could lead to a wide range of warehousing jobs, including:</w:t>
            </w:r>
          </w:p>
          <w:p w:rsidR="00A87726" w:rsidRDefault="00A87726" w:rsidP="00A87726">
            <w:pPr>
              <w:pStyle w:val="ListParagraph"/>
              <w:numPr>
                <w:ilvl w:val="0"/>
                <w:numId w:val="36"/>
              </w:numPr>
              <w:spacing w:before="240" w:after="240"/>
              <w:rPr>
                <w:rFonts w:ascii="Arial" w:eastAsia="Times New Roman" w:hAnsi="Arial" w:cs="Arial"/>
                <w:lang w:eastAsia="en-GB"/>
              </w:rPr>
            </w:pPr>
            <w:r>
              <w:rPr>
                <w:rFonts w:ascii="Arial" w:eastAsia="Times New Roman" w:hAnsi="Arial" w:cs="Arial"/>
                <w:lang w:eastAsia="en-GB"/>
              </w:rPr>
              <w:t>Warehouse operative</w:t>
            </w:r>
          </w:p>
          <w:p w:rsidR="00A87726" w:rsidRDefault="00A87726" w:rsidP="00A87726">
            <w:pPr>
              <w:pStyle w:val="ListParagraph"/>
              <w:numPr>
                <w:ilvl w:val="0"/>
                <w:numId w:val="36"/>
              </w:numPr>
              <w:spacing w:before="240" w:after="240"/>
              <w:rPr>
                <w:rFonts w:ascii="Arial" w:eastAsia="Times New Roman" w:hAnsi="Arial" w:cs="Arial"/>
                <w:lang w:eastAsia="en-GB"/>
              </w:rPr>
            </w:pPr>
            <w:r>
              <w:rPr>
                <w:rFonts w:ascii="Arial" w:eastAsia="Times New Roman" w:hAnsi="Arial" w:cs="Arial"/>
                <w:lang w:eastAsia="en-GB"/>
              </w:rPr>
              <w:t xml:space="preserve">Fork lift </w:t>
            </w:r>
            <w:r w:rsidR="008E23CF">
              <w:rPr>
                <w:rFonts w:ascii="Arial" w:eastAsia="Times New Roman" w:hAnsi="Arial" w:cs="Arial"/>
                <w:lang w:eastAsia="en-GB"/>
              </w:rPr>
              <w:t>truck operative</w:t>
            </w:r>
          </w:p>
          <w:p w:rsidR="00A87726" w:rsidRDefault="00A87726" w:rsidP="00A87726">
            <w:pPr>
              <w:pStyle w:val="ListParagraph"/>
              <w:numPr>
                <w:ilvl w:val="0"/>
                <w:numId w:val="36"/>
              </w:numPr>
              <w:spacing w:before="240" w:after="240"/>
              <w:rPr>
                <w:rFonts w:ascii="Arial" w:eastAsia="Times New Roman" w:hAnsi="Arial" w:cs="Arial"/>
                <w:lang w:eastAsia="en-GB"/>
              </w:rPr>
            </w:pPr>
            <w:r>
              <w:rPr>
                <w:rFonts w:ascii="Arial" w:eastAsia="Times New Roman" w:hAnsi="Arial" w:cs="Arial"/>
                <w:lang w:eastAsia="en-GB"/>
              </w:rPr>
              <w:t>Stock control assistant</w:t>
            </w:r>
          </w:p>
          <w:p w:rsidR="00A87726" w:rsidRDefault="00A87726" w:rsidP="00A87726">
            <w:pPr>
              <w:pStyle w:val="ListParagraph"/>
              <w:numPr>
                <w:ilvl w:val="0"/>
                <w:numId w:val="36"/>
              </w:numPr>
              <w:spacing w:before="240" w:after="240"/>
              <w:rPr>
                <w:rFonts w:ascii="Arial" w:eastAsia="Times New Roman" w:hAnsi="Arial" w:cs="Arial"/>
                <w:lang w:eastAsia="en-GB"/>
              </w:rPr>
            </w:pPr>
            <w:r>
              <w:rPr>
                <w:rFonts w:ascii="Arial" w:eastAsia="Times New Roman" w:hAnsi="Arial" w:cs="Arial"/>
                <w:lang w:eastAsia="en-GB"/>
              </w:rPr>
              <w:t>Removals operative</w:t>
            </w:r>
          </w:p>
          <w:p w:rsidR="00A87726" w:rsidRPr="00A87726" w:rsidRDefault="00A87726" w:rsidP="00A87726">
            <w:pPr>
              <w:pStyle w:val="ListParagraph"/>
              <w:numPr>
                <w:ilvl w:val="0"/>
                <w:numId w:val="36"/>
              </w:numPr>
              <w:spacing w:before="240" w:after="240"/>
              <w:rPr>
                <w:rFonts w:ascii="Arial" w:eastAsia="Times New Roman" w:hAnsi="Arial" w:cs="Arial"/>
                <w:lang w:eastAsia="en-GB"/>
              </w:rPr>
            </w:pPr>
            <w:r>
              <w:rPr>
                <w:rFonts w:ascii="Arial" w:eastAsia="Times New Roman" w:hAnsi="Arial" w:cs="Arial"/>
                <w:lang w:eastAsia="en-GB"/>
              </w:rPr>
              <w:t>Management</w:t>
            </w:r>
          </w:p>
          <w:p w:rsidR="0079281E" w:rsidRPr="001F5F07" w:rsidRDefault="0079281E" w:rsidP="00AA7AF4">
            <w:pPr>
              <w:pStyle w:val="Default"/>
              <w:rPr>
                <w:color w:val="auto"/>
                <w:sz w:val="22"/>
                <w:szCs w:val="22"/>
              </w:rPr>
            </w:pPr>
          </w:p>
        </w:tc>
      </w:tr>
      <w:tr w:rsidR="001F5F07" w:rsidRPr="001F5F07" w:rsidTr="002C44BE">
        <w:tc>
          <w:tcPr>
            <w:tcW w:w="2230" w:type="dxa"/>
          </w:tcPr>
          <w:p w:rsidR="00F52285" w:rsidRPr="001F5F07" w:rsidRDefault="005E07F2" w:rsidP="00316DF7">
            <w:pPr>
              <w:pStyle w:val="Default"/>
              <w:rPr>
                <w:b/>
                <w:color w:val="auto"/>
                <w:sz w:val="22"/>
                <w:szCs w:val="22"/>
              </w:rPr>
            </w:pPr>
            <w:r w:rsidRPr="001F5F07">
              <w:rPr>
                <w:b/>
                <w:color w:val="auto"/>
                <w:sz w:val="22"/>
                <w:szCs w:val="22"/>
              </w:rPr>
              <w:lastRenderedPageBreak/>
              <w:t>Any other relevant information</w:t>
            </w:r>
          </w:p>
        </w:tc>
        <w:tc>
          <w:tcPr>
            <w:tcW w:w="282" w:type="dxa"/>
          </w:tcPr>
          <w:p w:rsidR="00F52285" w:rsidRPr="001F5F07" w:rsidRDefault="00F52285" w:rsidP="00316DF7">
            <w:pPr>
              <w:pStyle w:val="Default"/>
              <w:rPr>
                <w:color w:val="auto"/>
                <w:sz w:val="22"/>
                <w:szCs w:val="22"/>
              </w:rPr>
            </w:pPr>
          </w:p>
        </w:tc>
        <w:tc>
          <w:tcPr>
            <w:tcW w:w="7661" w:type="dxa"/>
          </w:tcPr>
          <w:p w:rsidR="00423AA0" w:rsidRPr="001F5F07" w:rsidRDefault="00423AA0" w:rsidP="00423AA0">
            <w:pPr>
              <w:pStyle w:val="Default"/>
              <w:rPr>
                <w:color w:val="auto"/>
                <w:sz w:val="22"/>
                <w:szCs w:val="22"/>
              </w:rPr>
            </w:pPr>
            <w:r w:rsidRPr="001F5F07">
              <w:rPr>
                <w:color w:val="auto"/>
                <w:sz w:val="22"/>
                <w:szCs w:val="22"/>
              </w:rPr>
              <w:t>The qualification is designed by employers to meet their specific needs, and ensures th</w:t>
            </w:r>
            <w:r w:rsidR="00AF4701" w:rsidRPr="001F5F07">
              <w:rPr>
                <w:color w:val="auto"/>
                <w:sz w:val="22"/>
                <w:szCs w:val="22"/>
              </w:rPr>
              <w:t xml:space="preserve">at </w:t>
            </w:r>
            <w:r w:rsidRPr="001F5F07">
              <w:rPr>
                <w:color w:val="auto"/>
                <w:sz w:val="22"/>
                <w:szCs w:val="22"/>
              </w:rPr>
              <w:t xml:space="preserve">successful </w:t>
            </w:r>
            <w:r w:rsidR="00AF4701" w:rsidRPr="001F5F07">
              <w:rPr>
                <w:color w:val="auto"/>
                <w:sz w:val="22"/>
                <w:szCs w:val="22"/>
              </w:rPr>
              <w:t>learners</w:t>
            </w:r>
            <w:r w:rsidRPr="001F5F07">
              <w:rPr>
                <w:color w:val="auto"/>
                <w:sz w:val="22"/>
                <w:szCs w:val="22"/>
              </w:rPr>
              <w:t xml:space="preserve"> </w:t>
            </w:r>
            <w:r w:rsidR="00AF4701" w:rsidRPr="001F5F07">
              <w:rPr>
                <w:color w:val="auto"/>
                <w:sz w:val="22"/>
                <w:szCs w:val="22"/>
              </w:rPr>
              <w:t>are</w:t>
            </w:r>
            <w:r w:rsidR="005B2171">
              <w:rPr>
                <w:color w:val="auto"/>
                <w:sz w:val="22"/>
                <w:szCs w:val="22"/>
              </w:rPr>
              <w:t xml:space="preserve"> “job ready”.</w:t>
            </w:r>
          </w:p>
          <w:p w:rsidR="00423AA0" w:rsidRPr="001F5F07" w:rsidRDefault="00423AA0" w:rsidP="00316DF7">
            <w:pPr>
              <w:pStyle w:val="Default"/>
              <w:rPr>
                <w:color w:val="auto"/>
                <w:sz w:val="22"/>
                <w:szCs w:val="22"/>
                <w:lang w:val="en"/>
              </w:rPr>
            </w:pPr>
          </w:p>
          <w:p w:rsidR="0039745F" w:rsidRDefault="0039745F" w:rsidP="0039745F">
            <w:pPr>
              <w:rPr>
                <w:rFonts w:ascii="Arial" w:eastAsia="Times New Roman" w:hAnsi="Arial" w:cs="Arial"/>
                <w:bCs/>
                <w:lang w:eastAsia="en-GB"/>
              </w:rPr>
            </w:pPr>
            <w:r w:rsidRPr="001F5F07">
              <w:rPr>
                <w:rFonts w:ascii="Arial" w:hAnsi="Arial" w:cs="Arial"/>
              </w:rPr>
              <w:t xml:space="preserve">This qualification is supported by </w:t>
            </w:r>
            <w:r w:rsidR="00BB4549">
              <w:rPr>
                <w:rFonts w:ascii="Arial" w:hAnsi="Arial" w:cs="Arial"/>
              </w:rPr>
              <w:t>t</w:t>
            </w:r>
            <w:r w:rsidRPr="001F5F07">
              <w:rPr>
                <w:rFonts w:ascii="Arial" w:hAnsi="Arial" w:cs="Arial"/>
              </w:rPr>
              <w:t xml:space="preserve">he </w:t>
            </w:r>
            <w:r w:rsidR="004177CC">
              <w:rPr>
                <w:rFonts w:ascii="Arial" w:hAnsi="Arial" w:cs="Arial"/>
              </w:rPr>
              <w:t>Chartered Institute of Logistics and Transport (CILT).  CILT is the recognised global professional body for all professionals involved in Supply Chain, Logistics and Transport.</w:t>
            </w:r>
            <w:bookmarkStart w:id="0" w:name="_GoBack"/>
            <w:bookmarkEnd w:id="0"/>
          </w:p>
          <w:p w:rsidR="00DE0091" w:rsidRPr="001F5F07" w:rsidRDefault="00DE0091" w:rsidP="00DE0091">
            <w:pPr>
              <w:pStyle w:val="Default"/>
              <w:ind w:left="57"/>
              <w:rPr>
                <w:color w:val="auto"/>
                <w:sz w:val="22"/>
                <w:szCs w:val="22"/>
              </w:rPr>
            </w:pPr>
          </w:p>
          <w:p w:rsidR="00316DF7" w:rsidRPr="001F5F07" w:rsidRDefault="00316DF7" w:rsidP="00316DF7">
            <w:pPr>
              <w:pStyle w:val="Default"/>
              <w:rPr>
                <w:color w:val="auto"/>
                <w:sz w:val="22"/>
                <w:szCs w:val="22"/>
              </w:rPr>
            </w:pPr>
          </w:p>
        </w:tc>
      </w:tr>
      <w:tr w:rsidR="001F5F07" w:rsidRPr="001F5F07" w:rsidTr="002C44BE">
        <w:tc>
          <w:tcPr>
            <w:tcW w:w="2230" w:type="dxa"/>
          </w:tcPr>
          <w:p w:rsidR="00F52285" w:rsidRPr="001F5F07" w:rsidRDefault="005E07F2" w:rsidP="00316DF7">
            <w:pPr>
              <w:pStyle w:val="Default"/>
              <w:rPr>
                <w:b/>
                <w:color w:val="auto"/>
                <w:sz w:val="22"/>
                <w:szCs w:val="22"/>
              </w:rPr>
            </w:pPr>
            <w:r w:rsidRPr="001F5F07">
              <w:rPr>
                <w:b/>
                <w:color w:val="auto"/>
                <w:sz w:val="22"/>
                <w:szCs w:val="22"/>
              </w:rPr>
              <w:t>SQA website</w:t>
            </w:r>
          </w:p>
        </w:tc>
        <w:tc>
          <w:tcPr>
            <w:tcW w:w="282" w:type="dxa"/>
          </w:tcPr>
          <w:p w:rsidR="00F52285" w:rsidRPr="001F5F07" w:rsidRDefault="00F52285" w:rsidP="00316DF7">
            <w:pPr>
              <w:pStyle w:val="Default"/>
              <w:rPr>
                <w:color w:val="auto"/>
                <w:sz w:val="22"/>
                <w:szCs w:val="22"/>
              </w:rPr>
            </w:pPr>
          </w:p>
        </w:tc>
        <w:tc>
          <w:tcPr>
            <w:tcW w:w="7661" w:type="dxa"/>
          </w:tcPr>
          <w:p w:rsidR="00F52285" w:rsidRPr="001F5F07" w:rsidRDefault="004177CC" w:rsidP="00316DF7">
            <w:pPr>
              <w:pStyle w:val="Default"/>
              <w:rPr>
                <w:color w:val="auto"/>
                <w:sz w:val="22"/>
                <w:szCs w:val="22"/>
              </w:rPr>
            </w:pPr>
            <w:hyperlink r:id="rId9" w:history="1">
              <w:r w:rsidR="00BF59E8" w:rsidRPr="004B1626">
                <w:rPr>
                  <w:rStyle w:val="Hyperlink"/>
                  <w:sz w:val="22"/>
                  <w:szCs w:val="22"/>
                </w:rPr>
                <w:t>www.sqa.org.uk</w:t>
              </w:r>
            </w:hyperlink>
            <w:r w:rsidR="005E07F2" w:rsidRPr="001F5F07">
              <w:rPr>
                <w:color w:val="auto"/>
                <w:sz w:val="22"/>
                <w:szCs w:val="22"/>
              </w:rPr>
              <w:t xml:space="preserve"> </w:t>
            </w:r>
          </w:p>
        </w:tc>
      </w:tr>
      <w:tr w:rsidR="001F5F07" w:rsidRPr="001F5F07" w:rsidTr="002C44BE">
        <w:tc>
          <w:tcPr>
            <w:tcW w:w="2230" w:type="dxa"/>
          </w:tcPr>
          <w:p w:rsidR="00F52285" w:rsidRPr="001F5F07" w:rsidRDefault="005E07F2" w:rsidP="00316DF7">
            <w:pPr>
              <w:pStyle w:val="Default"/>
              <w:rPr>
                <w:b/>
                <w:color w:val="auto"/>
                <w:sz w:val="22"/>
                <w:szCs w:val="22"/>
              </w:rPr>
            </w:pPr>
            <w:r w:rsidRPr="001F5F07">
              <w:rPr>
                <w:b/>
                <w:color w:val="auto"/>
                <w:sz w:val="22"/>
                <w:szCs w:val="22"/>
              </w:rPr>
              <w:t>Telephone</w:t>
            </w:r>
          </w:p>
        </w:tc>
        <w:tc>
          <w:tcPr>
            <w:tcW w:w="282" w:type="dxa"/>
          </w:tcPr>
          <w:p w:rsidR="00F52285" w:rsidRPr="001F5F07" w:rsidRDefault="00F52285" w:rsidP="00316DF7">
            <w:pPr>
              <w:pStyle w:val="Default"/>
              <w:rPr>
                <w:color w:val="auto"/>
                <w:sz w:val="22"/>
                <w:szCs w:val="22"/>
              </w:rPr>
            </w:pPr>
          </w:p>
        </w:tc>
        <w:tc>
          <w:tcPr>
            <w:tcW w:w="7661" w:type="dxa"/>
          </w:tcPr>
          <w:p w:rsidR="00F52285" w:rsidRPr="001F5F07" w:rsidRDefault="005E07F2" w:rsidP="00316DF7">
            <w:pPr>
              <w:pStyle w:val="Default"/>
              <w:rPr>
                <w:color w:val="auto"/>
                <w:sz w:val="22"/>
                <w:szCs w:val="22"/>
              </w:rPr>
            </w:pPr>
            <w:r w:rsidRPr="001F5F07">
              <w:rPr>
                <w:color w:val="auto"/>
                <w:sz w:val="22"/>
                <w:szCs w:val="22"/>
              </w:rPr>
              <w:t>0345 279 1000</w:t>
            </w:r>
          </w:p>
        </w:tc>
      </w:tr>
      <w:tr w:rsidR="005E07F2" w:rsidRPr="001F5F07" w:rsidTr="002C44BE">
        <w:tc>
          <w:tcPr>
            <w:tcW w:w="2230" w:type="dxa"/>
          </w:tcPr>
          <w:p w:rsidR="005E07F2" w:rsidRPr="001F5F07" w:rsidRDefault="005E07F2" w:rsidP="00316DF7">
            <w:pPr>
              <w:pStyle w:val="Default"/>
              <w:rPr>
                <w:b/>
                <w:color w:val="auto"/>
                <w:sz w:val="22"/>
                <w:szCs w:val="22"/>
              </w:rPr>
            </w:pPr>
            <w:r w:rsidRPr="001F5F07">
              <w:rPr>
                <w:b/>
                <w:color w:val="auto"/>
                <w:sz w:val="22"/>
                <w:szCs w:val="22"/>
              </w:rPr>
              <w:t>E-mail enquiries</w:t>
            </w:r>
          </w:p>
        </w:tc>
        <w:tc>
          <w:tcPr>
            <w:tcW w:w="282" w:type="dxa"/>
          </w:tcPr>
          <w:p w:rsidR="005E07F2" w:rsidRPr="001F5F07" w:rsidRDefault="005E07F2" w:rsidP="00316DF7">
            <w:pPr>
              <w:pStyle w:val="Default"/>
              <w:rPr>
                <w:color w:val="auto"/>
                <w:sz w:val="22"/>
                <w:szCs w:val="22"/>
              </w:rPr>
            </w:pPr>
          </w:p>
        </w:tc>
        <w:tc>
          <w:tcPr>
            <w:tcW w:w="7661" w:type="dxa"/>
          </w:tcPr>
          <w:p w:rsidR="005E07F2" w:rsidRPr="001F5F07" w:rsidRDefault="004177CC" w:rsidP="00316DF7">
            <w:pPr>
              <w:pStyle w:val="Default"/>
              <w:rPr>
                <w:color w:val="auto"/>
                <w:sz w:val="22"/>
                <w:szCs w:val="22"/>
              </w:rPr>
            </w:pPr>
            <w:hyperlink r:id="rId10" w:history="1">
              <w:r w:rsidR="00A96BC6" w:rsidRPr="001F5F07">
                <w:rPr>
                  <w:rStyle w:val="Hyperlink"/>
                  <w:color w:val="auto"/>
                  <w:sz w:val="22"/>
                  <w:szCs w:val="22"/>
                </w:rPr>
                <w:t>customer@sqa.org.uk</w:t>
              </w:r>
            </w:hyperlink>
          </w:p>
        </w:tc>
      </w:tr>
    </w:tbl>
    <w:p w:rsidR="00785775" w:rsidRPr="001F5F07" w:rsidRDefault="00785775" w:rsidP="00316DF7">
      <w:pPr>
        <w:spacing w:after="0" w:line="240" w:lineRule="auto"/>
        <w:rPr>
          <w:rFonts w:ascii="Arial" w:eastAsiaTheme="majorEastAsia" w:hAnsi="Arial" w:cs="Arial"/>
          <w:b/>
          <w:bCs/>
        </w:rPr>
      </w:pPr>
    </w:p>
    <w:sectPr w:rsidR="00785775" w:rsidRPr="001F5F07" w:rsidSect="00F52285">
      <w:type w:val="continuous"/>
      <w:pgSz w:w="11906" w:h="16838"/>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C5"/>
    <w:multiLevelType w:val="hybridMultilevel"/>
    <w:tmpl w:val="7B724F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nsid w:val="09F237BF"/>
    <w:multiLevelType w:val="hybridMultilevel"/>
    <w:tmpl w:val="62281C94"/>
    <w:lvl w:ilvl="0" w:tplc="A85072F6">
      <w:start w:val="1"/>
      <w:numFmt w:val="lowerRoman"/>
      <w:lvlText w:val="%1."/>
      <w:lvlJc w:val="left"/>
      <w:pPr>
        <w:ind w:left="1080" w:hanging="720"/>
      </w:pPr>
      <w:rPr>
        <w:rFonts w:hint="default"/>
      </w:rPr>
    </w:lvl>
    <w:lvl w:ilvl="1" w:tplc="D73A58A6">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D3F63"/>
    <w:multiLevelType w:val="hybridMultilevel"/>
    <w:tmpl w:val="08A84E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BB96D51"/>
    <w:multiLevelType w:val="multilevel"/>
    <w:tmpl w:val="0E06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900C9"/>
    <w:multiLevelType w:val="hybridMultilevel"/>
    <w:tmpl w:val="B696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76626"/>
    <w:multiLevelType w:val="multilevel"/>
    <w:tmpl w:val="0BBC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77EC2"/>
    <w:multiLevelType w:val="hybridMultilevel"/>
    <w:tmpl w:val="0A269574"/>
    <w:lvl w:ilvl="0" w:tplc="08090017">
      <w:start w:val="1"/>
      <w:numFmt w:val="lowerLetter"/>
      <w:lvlText w:val="%1)"/>
      <w:lvlJc w:val="left"/>
      <w:pPr>
        <w:ind w:left="103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C5497C"/>
    <w:multiLevelType w:val="hybridMultilevel"/>
    <w:tmpl w:val="C1208410"/>
    <w:lvl w:ilvl="0" w:tplc="20C22026">
      <w:start w:val="14"/>
      <w:numFmt w:val="bullet"/>
      <w:lvlText w:val=""/>
      <w:lvlJc w:val="left"/>
      <w:pPr>
        <w:ind w:left="924" w:hanging="360"/>
      </w:pPr>
      <w:rPr>
        <w:rFonts w:ascii="Symbol" w:eastAsia="Times New Roman" w:hAnsi="Symbol" w:cs="Times New Roman"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8">
    <w:nsid w:val="16562860"/>
    <w:multiLevelType w:val="hybridMultilevel"/>
    <w:tmpl w:val="531E2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F95E5F"/>
    <w:multiLevelType w:val="hybridMultilevel"/>
    <w:tmpl w:val="36D61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nsid w:val="19004338"/>
    <w:multiLevelType w:val="hybridMultilevel"/>
    <w:tmpl w:val="13E6DE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nsid w:val="1A9E4888"/>
    <w:multiLevelType w:val="hybridMultilevel"/>
    <w:tmpl w:val="E272E05E"/>
    <w:lvl w:ilvl="0" w:tplc="64D0158C">
      <w:start w:val="14"/>
      <w:numFmt w:val="bullet"/>
      <w:lvlText w:val=""/>
      <w:lvlJc w:val="left"/>
      <w:pPr>
        <w:ind w:left="924" w:hanging="360"/>
      </w:pPr>
      <w:rPr>
        <w:rFonts w:ascii="Symbol" w:eastAsia="Times New Roman" w:hAnsi="Symbol" w:cs="Arial" w:hint="default"/>
      </w:rPr>
    </w:lvl>
    <w:lvl w:ilvl="1" w:tplc="08090003" w:tentative="1">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2">
    <w:nsid w:val="1F843C67"/>
    <w:multiLevelType w:val="hybridMultilevel"/>
    <w:tmpl w:val="0408E0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98B62C2"/>
    <w:multiLevelType w:val="hybridMultilevel"/>
    <w:tmpl w:val="73DC1F5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nsid w:val="30074684"/>
    <w:multiLevelType w:val="hybridMultilevel"/>
    <w:tmpl w:val="D2F6B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7D40E4"/>
    <w:multiLevelType w:val="multilevel"/>
    <w:tmpl w:val="4FC48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64534E"/>
    <w:multiLevelType w:val="hybridMultilevel"/>
    <w:tmpl w:val="2568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B15D56"/>
    <w:multiLevelType w:val="hybridMultilevel"/>
    <w:tmpl w:val="D502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052253"/>
    <w:multiLevelType w:val="hybridMultilevel"/>
    <w:tmpl w:val="EAA4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601254"/>
    <w:multiLevelType w:val="multilevel"/>
    <w:tmpl w:val="A336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F659F"/>
    <w:multiLevelType w:val="hybridMultilevel"/>
    <w:tmpl w:val="B56A4B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6190248"/>
    <w:multiLevelType w:val="hybridMultilevel"/>
    <w:tmpl w:val="D2F6BB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04166C"/>
    <w:multiLevelType w:val="hybridMultilevel"/>
    <w:tmpl w:val="DF2425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9D82A7C"/>
    <w:multiLevelType w:val="hybridMultilevel"/>
    <w:tmpl w:val="1CB0E5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4C10571A"/>
    <w:multiLevelType w:val="hybridMultilevel"/>
    <w:tmpl w:val="B46E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B3418"/>
    <w:multiLevelType w:val="hybridMultilevel"/>
    <w:tmpl w:val="9188715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27">
    <w:nsid w:val="513403DB"/>
    <w:multiLevelType w:val="hybridMultilevel"/>
    <w:tmpl w:val="2FDC9A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56D08E6"/>
    <w:multiLevelType w:val="multilevel"/>
    <w:tmpl w:val="2F7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097185"/>
    <w:multiLevelType w:val="multilevel"/>
    <w:tmpl w:val="AC523E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7D07E06"/>
    <w:multiLevelType w:val="hybridMultilevel"/>
    <w:tmpl w:val="14D2430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nsid w:val="5CAA3688"/>
    <w:multiLevelType w:val="multilevel"/>
    <w:tmpl w:val="64906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5D276C60"/>
    <w:multiLevelType w:val="hybridMultilevel"/>
    <w:tmpl w:val="C770BFB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3">
    <w:nsid w:val="6A854744"/>
    <w:multiLevelType w:val="hybridMultilevel"/>
    <w:tmpl w:val="F86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5A10E9"/>
    <w:multiLevelType w:val="hybridMultilevel"/>
    <w:tmpl w:val="6528107E"/>
    <w:lvl w:ilvl="0" w:tplc="08090001">
      <w:start w:val="1"/>
      <w:numFmt w:val="bullet"/>
      <w:lvlText w:val=""/>
      <w:lvlJc w:val="left"/>
      <w:pPr>
        <w:ind w:left="477" w:hanging="360"/>
      </w:pPr>
      <w:rPr>
        <w:rFonts w:ascii="Symbol" w:hAnsi="Symbol" w:hint="default"/>
      </w:rPr>
    </w:lvl>
    <w:lvl w:ilvl="1" w:tplc="08090003" w:tentative="1">
      <w:start w:val="1"/>
      <w:numFmt w:val="bullet"/>
      <w:lvlText w:val="o"/>
      <w:lvlJc w:val="left"/>
      <w:pPr>
        <w:ind w:left="1197" w:hanging="360"/>
      </w:pPr>
      <w:rPr>
        <w:rFonts w:ascii="Courier New" w:hAnsi="Courier New" w:cs="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cs="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cs="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35">
    <w:nsid w:val="7BEE31B2"/>
    <w:multiLevelType w:val="hybridMultilevel"/>
    <w:tmpl w:val="6AA6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6"/>
  </w:num>
  <w:num w:numId="4">
    <w:abstractNumId w:val="15"/>
  </w:num>
  <w:num w:numId="5">
    <w:abstractNumId w:val="26"/>
  </w:num>
  <w:num w:numId="6">
    <w:abstractNumId w:val="19"/>
  </w:num>
  <w:num w:numId="7">
    <w:abstractNumId w:val="5"/>
  </w:num>
  <w:num w:numId="8">
    <w:abstractNumId w:val="26"/>
  </w:num>
  <w:num w:numId="9">
    <w:abstractNumId w:val="14"/>
  </w:num>
  <w:num w:numId="10">
    <w:abstractNumId w:val="21"/>
  </w:num>
  <w:num w:numId="11">
    <w:abstractNumId w:val="35"/>
  </w:num>
  <w:num w:numId="12">
    <w:abstractNumId w:val="8"/>
  </w:num>
  <w:num w:numId="13">
    <w:abstractNumId w:val="22"/>
  </w:num>
  <w:num w:numId="14">
    <w:abstractNumId w:val="32"/>
  </w:num>
  <w:num w:numId="15">
    <w:abstractNumId w:val="16"/>
  </w:num>
  <w:num w:numId="16">
    <w:abstractNumId w:val="3"/>
  </w:num>
  <w:num w:numId="17">
    <w:abstractNumId w:val="28"/>
  </w:num>
  <w:num w:numId="18">
    <w:abstractNumId w:val="12"/>
  </w:num>
  <w:num w:numId="19">
    <w:abstractNumId w:val="13"/>
  </w:num>
  <w:num w:numId="20">
    <w:abstractNumId w:val="0"/>
  </w:num>
  <w:num w:numId="21">
    <w:abstractNumId w:val="30"/>
  </w:num>
  <w:num w:numId="22">
    <w:abstractNumId w:val="34"/>
  </w:num>
  <w:num w:numId="23">
    <w:abstractNumId w:val="27"/>
  </w:num>
  <w:num w:numId="24">
    <w:abstractNumId w:val="10"/>
  </w:num>
  <w:num w:numId="25">
    <w:abstractNumId w:val="9"/>
  </w:num>
  <w:num w:numId="26">
    <w:abstractNumId w:val="31"/>
  </w:num>
  <w:num w:numId="27">
    <w:abstractNumId w:val="29"/>
  </w:num>
  <w:num w:numId="28">
    <w:abstractNumId w:val="20"/>
  </w:num>
  <w:num w:numId="29">
    <w:abstractNumId w:val="23"/>
  </w:num>
  <w:num w:numId="30">
    <w:abstractNumId w:val="25"/>
  </w:num>
  <w:num w:numId="31">
    <w:abstractNumId w:val="4"/>
  </w:num>
  <w:num w:numId="32">
    <w:abstractNumId w:val="2"/>
  </w:num>
  <w:num w:numId="33">
    <w:abstractNumId w:val="7"/>
  </w:num>
  <w:num w:numId="34">
    <w:abstractNumId w:val="11"/>
  </w:num>
  <w:num w:numId="35">
    <w:abstractNumId w:val="18"/>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D8"/>
    <w:rsid w:val="00001D9A"/>
    <w:rsid w:val="00014D6C"/>
    <w:rsid w:val="00044C13"/>
    <w:rsid w:val="00052B86"/>
    <w:rsid w:val="000569B5"/>
    <w:rsid w:val="000629B3"/>
    <w:rsid w:val="00093D74"/>
    <w:rsid w:val="000A1CE3"/>
    <w:rsid w:val="000A250F"/>
    <w:rsid w:val="000B303E"/>
    <w:rsid w:val="000E0BD9"/>
    <w:rsid w:val="000E0C7F"/>
    <w:rsid w:val="000F2334"/>
    <w:rsid w:val="00112A53"/>
    <w:rsid w:val="00133158"/>
    <w:rsid w:val="001540EE"/>
    <w:rsid w:val="00163165"/>
    <w:rsid w:val="001727E5"/>
    <w:rsid w:val="00185169"/>
    <w:rsid w:val="001939F3"/>
    <w:rsid w:val="001B0FE9"/>
    <w:rsid w:val="001B3024"/>
    <w:rsid w:val="001D533F"/>
    <w:rsid w:val="001F5F07"/>
    <w:rsid w:val="00246EAD"/>
    <w:rsid w:val="002655C9"/>
    <w:rsid w:val="00292BD4"/>
    <w:rsid w:val="00296A22"/>
    <w:rsid w:val="002A3523"/>
    <w:rsid w:val="002B2821"/>
    <w:rsid w:val="002C44BE"/>
    <w:rsid w:val="00316DF7"/>
    <w:rsid w:val="00331B8E"/>
    <w:rsid w:val="00334C71"/>
    <w:rsid w:val="0034510E"/>
    <w:rsid w:val="003474B5"/>
    <w:rsid w:val="003542BF"/>
    <w:rsid w:val="00382C15"/>
    <w:rsid w:val="0039745F"/>
    <w:rsid w:val="003A6649"/>
    <w:rsid w:val="003C08F9"/>
    <w:rsid w:val="003C37F8"/>
    <w:rsid w:val="003C59B7"/>
    <w:rsid w:val="003D65BB"/>
    <w:rsid w:val="003E0F68"/>
    <w:rsid w:val="003E55C0"/>
    <w:rsid w:val="00403184"/>
    <w:rsid w:val="00413F58"/>
    <w:rsid w:val="004177CC"/>
    <w:rsid w:val="00423AA0"/>
    <w:rsid w:val="00447EDE"/>
    <w:rsid w:val="0045646F"/>
    <w:rsid w:val="00457913"/>
    <w:rsid w:val="00474069"/>
    <w:rsid w:val="00482703"/>
    <w:rsid w:val="004C4A00"/>
    <w:rsid w:val="004D3AA8"/>
    <w:rsid w:val="004E01BB"/>
    <w:rsid w:val="004E0AB1"/>
    <w:rsid w:val="004F6344"/>
    <w:rsid w:val="00510557"/>
    <w:rsid w:val="00542A8B"/>
    <w:rsid w:val="005524FB"/>
    <w:rsid w:val="0055434A"/>
    <w:rsid w:val="005629DA"/>
    <w:rsid w:val="005804C1"/>
    <w:rsid w:val="00585F77"/>
    <w:rsid w:val="005934E5"/>
    <w:rsid w:val="005B1A96"/>
    <w:rsid w:val="005B2171"/>
    <w:rsid w:val="005C00F1"/>
    <w:rsid w:val="005C5E69"/>
    <w:rsid w:val="005D2D23"/>
    <w:rsid w:val="005D5EC3"/>
    <w:rsid w:val="005D6CC6"/>
    <w:rsid w:val="005E07F2"/>
    <w:rsid w:val="00600DE1"/>
    <w:rsid w:val="006016D0"/>
    <w:rsid w:val="00664484"/>
    <w:rsid w:val="0066679F"/>
    <w:rsid w:val="00670711"/>
    <w:rsid w:val="00677387"/>
    <w:rsid w:val="006B3843"/>
    <w:rsid w:val="006C4D85"/>
    <w:rsid w:val="006E0588"/>
    <w:rsid w:val="006E12BB"/>
    <w:rsid w:val="006E2686"/>
    <w:rsid w:val="006F51AC"/>
    <w:rsid w:val="00741A0E"/>
    <w:rsid w:val="00750CC2"/>
    <w:rsid w:val="00764DAE"/>
    <w:rsid w:val="0077072D"/>
    <w:rsid w:val="00785775"/>
    <w:rsid w:val="00790C86"/>
    <w:rsid w:val="0079281E"/>
    <w:rsid w:val="007A365A"/>
    <w:rsid w:val="007D34BD"/>
    <w:rsid w:val="00806979"/>
    <w:rsid w:val="00812999"/>
    <w:rsid w:val="00824F98"/>
    <w:rsid w:val="0084138A"/>
    <w:rsid w:val="00865A94"/>
    <w:rsid w:val="00882434"/>
    <w:rsid w:val="00883710"/>
    <w:rsid w:val="00896FD1"/>
    <w:rsid w:val="008A26E0"/>
    <w:rsid w:val="008E23CF"/>
    <w:rsid w:val="008F1271"/>
    <w:rsid w:val="008F395C"/>
    <w:rsid w:val="0090470B"/>
    <w:rsid w:val="009102BF"/>
    <w:rsid w:val="009105BB"/>
    <w:rsid w:val="00960CFA"/>
    <w:rsid w:val="00971280"/>
    <w:rsid w:val="009760F9"/>
    <w:rsid w:val="009C3286"/>
    <w:rsid w:val="009D2D3F"/>
    <w:rsid w:val="00A27CFE"/>
    <w:rsid w:val="00A32B55"/>
    <w:rsid w:val="00A42D7D"/>
    <w:rsid w:val="00A45926"/>
    <w:rsid w:val="00A726E5"/>
    <w:rsid w:val="00A76724"/>
    <w:rsid w:val="00A8352F"/>
    <w:rsid w:val="00A83EB4"/>
    <w:rsid w:val="00A87726"/>
    <w:rsid w:val="00A965B5"/>
    <w:rsid w:val="00A96BC6"/>
    <w:rsid w:val="00AA5FD8"/>
    <w:rsid w:val="00AA7AF4"/>
    <w:rsid w:val="00AF4701"/>
    <w:rsid w:val="00B012D7"/>
    <w:rsid w:val="00B2159F"/>
    <w:rsid w:val="00B25913"/>
    <w:rsid w:val="00B31976"/>
    <w:rsid w:val="00B35D1D"/>
    <w:rsid w:val="00B4241A"/>
    <w:rsid w:val="00B52946"/>
    <w:rsid w:val="00B5348B"/>
    <w:rsid w:val="00B64489"/>
    <w:rsid w:val="00B84139"/>
    <w:rsid w:val="00B871B5"/>
    <w:rsid w:val="00BB4549"/>
    <w:rsid w:val="00BF4F05"/>
    <w:rsid w:val="00BF59E8"/>
    <w:rsid w:val="00BF7AF8"/>
    <w:rsid w:val="00C1311F"/>
    <w:rsid w:val="00C41E29"/>
    <w:rsid w:val="00C537A7"/>
    <w:rsid w:val="00C72902"/>
    <w:rsid w:val="00C734BE"/>
    <w:rsid w:val="00C941B9"/>
    <w:rsid w:val="00CC7730"/>
    <w:rsid w:val="00CD62D5"/>
    <w:rsid w:val="00CE1854"/>
    <w:rsid w:val="00CF1CBB"/>
    <w:rsid w:val="00CF3DDB"/>
    <w:rsid w:val="00CF4424"/>
    <w:rsid w:val="00D21E05"/>
    <w:rsid w:val="00D22FD4"/>
    <w:rsid w:val="00D2351A"/>
    <w:rsid w:val="00D346C5"/>
    <w:rsid w:val="00D42BA4"/>
    <w:rsid w:val="00D479A0"/>
    <w:rsid w:val="00D60DC1"/>
    <w:rsid w:val="00D74D5B"/>
    <w:rsid w:val="00DC791A"/>
    <w:rsid w:val="00DD5BF3"/>
    <w:rsid w:val="00DE0091"/>
    <w:rsid w:val="00DE2C48"/>
    <w:rsid w:val="00E12E3C"/>
    <w:rsid w:val="00E415C9"/>
    <w:rsid w:val="00EA2DE4"/>
    <w:rsid w:val="00EB7E4A"/>
    <w:rsid w:val="00ED45DD"/>
    <w:rsid w:val="00EE5012"/>
    <w:rsid w:val="00F358B4"/>
    <w:rsid w:val="00F5094C"/>
    <w:rsid w:val="00F52285"/>
    <w:rsid w:val="00F850D8"/>
    <w:rsid w:val="00F85F6B"/>
    <w:rsid w:val="00F861FF"/>
    <w:rsid w:val="00F86325"/>
    <w:rsid w:val="00F92909"/>
    <w:rsid w:val="00FA7388"/>
    <w:rsid w:val="00FE2BFE"/>
    <w:rsid w:val="00FE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FD8"/>
    <w:pPr>
      <w:spacing w:after="0" w:line="240" w:lineRule="auto"/>
      <w:outlineLvl w:val="0"/>
    </w:pPr>
    <w:rPr>
      <w:rFonts w:ascii="Helvetica" w:eastAsia="Times New Roman" w:hAnsi="Helvetica" w:cs="Helvetica"/>
      <w:color w:val="222222"/>
      <w:kern w:val="36"/>
      <w:sz w:val="48"/>
      <w:szCs w:val="48"/>
      <w:lang w:eastAsia="en-GB"/>
    </w:rPr>
  </w:style>
  <w:style w:type="paragraph" w:styleId="Heading2">
    <w:name w:val="heading 2"/>
    <w:basedOn w:val="Normal"/>
    <w:next w:val="Normal"/>
    <w:link w:val="Heading2Char"/>
    <w:uiPriority w:val="9"/>
    <w:semiHidden/>
    <w:unhideWhenUsed/>
    <w:qFormat/>
    <w:rsid w:val="00F92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85"/>
    <w:rPr>
      <w:rFonts w:ascii="Tahoma" w:hAnsi="Tahoma" w:cs="Tahoma"/>
      <w:sz w:val="16"/>
      <w:szCs w:val="16"/>
    </w:rPr>
  </w:style>
  <w:style w:type="character" w:styleId="Hyperlink">
    <w:name w:val="Hyperlink"/>
    <w:basedOn w:val="DefaultParagraphFont"/>
    <w:uiPriority w:val="99"/>
    <w:unhideWhenUsed/>
    <w:rsid w:val="005E07F2"/>
    <w:rPr>
      <w:color w:val="0000FF" w:themeColor="hyperlink"/>
      <w:u w:val="single"/>
    </w:rPr>
  </w:style>
  <w:style w:type="paragraph" w:styleId="NormalWeb">
    <w:name w:val="Normal (Web)"/>
    <w:basedOn w:val="Normal"/>
    <w:uiPriority w:val="99"/>
    <w:unhideWhenUsed/>
    <w:rsid w:val="00CF1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D74D5B"/>
    <w:pPr>
      <w:numPr>
        <w:numId w:val="5"/>
      </w:numPr>
      <w:tabs>
        <w:tab w:val="left" w:pos="567"/>
      </w:tabs>
      <w:spacing w:after="60" w:line="280" w:lineRule="exact"/>
    </w:pPr>
    <w:rPr>
      <w:rFonts w:ascii="Arial" w:eastAsia="Times New Roman" w:hAnsi="Arial" w:cs="Times New Roman"/>
    </w:rPr>
  </w:style>
  <w:style w:type="paragraph" w:customStyle="1" w:styleId="NormalBold12">
    <w:name w:val="Normal Bold 12"/>
    <w:next w:val="Normal"/>
    <w:qFormat/>
    <w:rsid w:val="00D74D5B"/>
    <w:pPr>
      <w:spacing w:after="0" w:line="240" w:lineRule="auto"/>
    </w:pPr>
    <w:rPr>
      <w:rFonts w:ascii="Arial" w:eastAsia="Calibri" w:hAnsi="Arial" w:cs="Arial"/>
      <w:b/>
      <w:sz w:val="24"/>
    </w:rPr>
  </w:style>
  <w:style w:type="character" w:styleId="Emphasis">
    <w:name w:val="Emphasis"/>
    <w:basedOn w:val="DefaultParagraphFont"/>
    <w:uiPriority w:val="20"/>
    <w:qFormat/>
    <w:rsid w:val="00AA5FD8"/>
    <w:rPr>
      <w:i/>
      <w:iCs/>
    </w:rPr>
  </w:style>
  <w:style w:type="character" w:customStyle="1" w:styleId="Heading1Char">
    <w:name w:val="Heading 1 Char"/>
    <w:basedOn w:val="DefaultParagraphFont"/>
    <w:link w:val="Heading1"/>
    <w:uiPriority w:val="9"/>
    <w:rsid w:val="00AA5FD8"/>
    <w:rPr>
      <w:rFonts w:ascii="Helvetica" w:eastAsia="Times New Roman" w:hAnsi="Helvetica" w:cs="Helvetica"/>
      <w:color w:val="222222"/>
      <w:kern w:val="36"/>
      <w:sz w:val="48"/>
      <w:szCs w:val="48"/>
      <w:lang w:eastAsia="en-GB"/>
    </w:rPr>
  </w:style>
  <w:style w:type="character" w:styleId="Strong">
    <w:name w:val="Strong"/>
    <w:basedOn w:val="DefaultParagraphFont"/>
    <w:uiPriority w:val="22"/>
    <w:qFormat/>
    <w:rsid w:val="00331B8E"/>
    <w:rPr>
      <w:b/>
      <w:bCs/>
    </w:rPr>
  </w:style>
  <w:style w:type="character" w:customStyle="1" w:styleId="Heading2Char">
    <w:name w:val="Heading 2 Char"/>
    <w:basedOn w:val="DefaultParagraphFont"/>
    <w:link w:val="Heading2"/>
    <w:uiPriority w:val="9"/>
    <w:semiHidden/>
    <w:rsid w:val="00F92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65BB"/>
    <w:pPr>
      <w:ind w:left="720"/>
      <w:contextualSpacing/>
    </w:pPr>
  </w:style>
  <w:style w:type="character" w:styleId="FollowedHyperlink">
    <w:name w:val="FollowedHyperlink"/>
    <w:basedOn w:val="DefaultParagraphFont"/>
    <w:uiPriority w:val="99"/>
    <w:semiHidden/>
    <w:unhideWhenUsed/>
    <w:rsid w:val="00785775"/>
    <w:rPr>
      <w:color w:val="800080" w:themeColor="followedHyperlink"/>
      <w:u w:val="single"/>
    </w:rPr>
  </w:style>
  <w:style w:type="character" w:customStyle="1" w:styleId="apple-converted-space">
    <w:name w:val="apple-converted-space"/>
    <w:basedOn w:val="DefaultParagraphFont"/>
    <w:rsid w:val="006C4D85"/>
  </w:style>
  <w:style w:type="character" w:styleId="CommentReference">
    <w:name w:val="annotation reference"/>
    <w:basedOn w:val="DefaultParagraphFont"/>
    <w:uiPriority w:val="99"/>
    <w:semiHidden/>
    <w:unhideWhenUsed/>
    <w:rsid w:val="00B4241A"/>
    <w:rPr>
      <w:sz w:val="16"/>
      <w:szCs w:val="16"/>
    </w:rPr>
  </w:style>
  <w:style w:type="paragraph" w:styleId="CommentText">
    <w:name w:val="annotation text"/>
    <w:basedOn w:val="Normal"/>
    <w:link w:val="CommentTextChar"/>
    <w:uiPriority w:val="99"/>
    <w:semiHidden/>
    <w:unhideWhenUsed/>
    <w:rsid w:val="00B4241A"/>
    <w:pPr>
      <w:spacing w:line="240" w:lineRule="auto"/>
    </w:pPr>
    <w:rPr>
      <w:sz w:val="20"/>
      <w:szCs w:val="20"/>
    </w:rPr>
  </w:style>
  <w:style w:type="character" w:customStyle="1" w:styleId="CommentTextChar">
    <w:name w:val="Comment Text Char"/>
    <w:basedOn w:val="DefaultParagraphFont"/>
    <w:link w:val="CommentText"/>
    <w:uiPriority w:val="99"/>
    <w:semiHidden/>
    <w:rsid w:val="00B4241A"/>
    <w:rPr>
      <w:sz w:val="20"/>
      <w:szCs w:val="20"/>
    </w:rPr>
  </w:style>
  <w:style w:type="paragraph" w:styleId="CommentSubject">
    <w:name w:val="annotation subject"/>
    <w:basedOn w:val="CommentText"/>
    <w:next w:val="CommentText"/>
    <w:link w:val="CommentSubjectChar"/>
    <w:uiPriority w:val="99"/>
    <w:semiHidden/>
    <w:unhideWhenUsed/>
    <w:rsid w:val="00B4241A"/>
    <w:rPr>
      <w:b/>
      <w:bCs/>
    </w:rPr>
  </w:style>
  <w:style w:type="character" w:customStyle="1" w:styleId="CommentSubjectChar">
    <w:name w:val="Comment Subject Char"/>
    <w:basedOn w:val="CommentTextChar"/>
    <w:link w:val="CommentSubject"/>
    <w:uiPriority w:val="99"/>
    <w:semiHidden/>
    <w:rsid w:val="00B424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5FD8"/>
    <w:pPr>
      <w:spacing w:after="0" w:line="240" w:lineRule="auto"/>
      <w:outlineLvl w:val="0"/>
    </w:pPr>
    <w:rPr>
      <w:rFonts w:ascii="Helvetica" w:eastAsia="Times New Roman" w:hAnsi="Helvetica" w:cs="Helvetica"/>
      <w:color w:val="222222"/>
      <w:kern w:val="36"/>
      <w:sz w:val="48"/>
      <w:szCs w:val="48"/>
      <w:lang w:eastAsia="en-GB"/>
    </w:rPr>
  </w:style>
  <w:style w:type="paragraph" w:styleId="Heading2">
    <w:name w:val="heading 2"/>
    <w:basedOn w:val="Normal"/>
    <w:next w:val="Normal"/>
    <w:link w:val="Heading2Char"/>
    <w:uiPriority w:val="9"/>
    <w:semiHidden/>
    <w:unhideWhenUsed/>
    <w:qFormat/>
    <w:rsid w:val="00F929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50D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03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2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85"/>
    <w:rPr>
      <w:rFonts w:ascii="Tahoma" w:hAnsi="Tahoma" w:cs="Tahoma"/>
      <w:sz w:val="16"/>
      <w:szCs w:val="16"/>
    </w:rPr>
  </w:style>
  <w:style w:type="character" w:styleId="Hyperlink">
    <w:name w:val="Hyperlink"/>
    <w:basedOn w:val="DefaultParagraphFont"/>
    <w:uiPriority w:val="99"/>
    <w:unhideWhenUsed/>
    <w:rsid w:val="005E07F2"/>
    <w:rPr>
      <w:color w:val="0000FF" w:themeColor="hyperlink"/>
      <w:u w:val="single"/>
    </w:rPr>
  </w:style>
  <w:style w:type="paragraph" w:styleId="NormalWeb">
    <w:name w:val="Normal (Web)"/>
    <w:basedOn w:val="Normal"/>
    <w:uiPriority w:val="99"/>
    <w:unhideWhenUsed/>
    <w:rsid w:val="00CF1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rsid w:val="00D74D5B"/>
    <w:pPr>
      <w:numPr>
        <w:numId w:val="5"/>
      </w:numPr>
      <w:tabs>
        <w:tab w:val="left" w:pos="567"/>
      </w:tabs>
      <w:spacing w:after="60" w:line="280" w:lineRule="exact"/>
    </w:pPr>
    <w:rPr>
      <w:rFonts w:ascii="Arial" w:eastAsia="Times New Roman" w:hAnsi="Arial" w:cs="Times New Roman"/>
    </w:rPr>
  </w:style>
  <w:style w:type="paragraph" w:customStyle="1" w:styleId="NormalBold12">
    <w:name w:val="Normal Bold 12"/>
    <w:next w:val="Normal"/>
    <w:qFormat/>
    <w:rsid w:val="00D74D5B"/>
    <w:pPr>
      <w:spacing w:after="0" w:line="240" w:lineRule="auto"/>
    </w:pPr>
    <w:rPr>
      <w:rFonts w:ascii="Arial" w:eastAsia="Calibri" w:hAnsi="Arial" w:cs="Arial"/>
      <w:b/>
      <w:sz w:val="24"/>
    </w:rPr>
  </w:style>
  <w:style w:type="character" w:styleId="Emphasis">
    <w:name w:val="Emphasis"/>
    <w:basedOn w:val="DefaultParagraphFont"/>
    <w:uiPriority w:val="20"/>
    <w:qFormat/>
    <w:rsid w:val="00AA5FD8"/>
    <w:rPr>
      <w:i/>
      <w:iCs/>
    </w:rPr>
  </w:style>
  <w:style w:type="character" w:customStyle="1" w:styleId="Heading1Char">
    <w:name w:val="Heading 1 Char"/>
    <w:basedOn w:val="DefaultParagraphFont"/>
    <w:link w:val="Heading1"/>
    <w:uiPriority w:val="9"/>
    <w:rsid w:val="00AA5FD8"/>
    <w:rPr>
      <w:rFonts w:ascii="Helvetica" w:eastAsia="Times New Roman" w:hAnsi="Helvetica" w:cs="Helvetica"/>
      <w:color w:val="222222"/>
      <w:kern w:val="36"/>
      <w:sz w:val="48"/>
      <w:szCs w:val="48"/>
      <w:lang w:eastAsia="en-GB"/>
    </w:rPr>
  </w:style>
  <w:style w:type="character" w:styleId="Strong">
    <w:name w:val="Strong"/>
    <w:basedOn w:val="DefaultParagraphFont"/>
    <w:uiPriority w:val="22"/>
    <w:qFormat/>
    <w:rsid w:val="00331B8E"/>
    <w:rPr>
      <w:b/>
      <w:bCs/>
    </w:rPr>
  </w:style>
  <w:style w:type="character" w:customStyle="1" w:styleId="Heading2Char">
    <w:name w:val="Heading 2 Char"/>
    <w:basedOn w:val="DefaultParagraphFont"/>
    <w:link w:val="Heading2"/>
    <w:uiPriority w:val="9"/>
    <w:semiHidden/>
    <w:rsid w:val="00F92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65BB"/>
    <w:pPr>
      <w:ind w:left="720"/>
      <w:contextualSpacing/>
    </w:pPr>
  </w:style>
  <w:style w:type="character" w:styleId="FollowedHyperlink">
    <w:name w:val="FollowedHyperlink"/>
    <w:basedOn w:val="DefaultParagraphFont"/>
    <w:uiPriority w:val="99"/>
    <w:semiHidden/>
    <w:unhideWhenUsed/>
    <w:rsid w:val="00785775"/>
    <w:rPr>
      <w:color w:val="800080" w:themeColor="followedHyperlink"/>
      <w:u w:val="single"/>
    </w:rPr>
  </w:style>
  <w:style w:type="character" w:customStyle="1" w:styleId="apple-converted-space">
    <w:name w:val="apple-converted-space"/>
    <w:basedOn w:val="DefaultParagraphFont"/>
    <w:rsid w:val="006C4D85"/>
  </w:style>
  <w:style w:type="character" w:styleId="CommentReference">
    <w:name w:val="annotation reference"/>
    <w:basedOn w:val="DefaultParagraphFont"/>
    <w:uiPriority w:val="99"/>
    <w:semiHidden/>
    <w:unhideWhenUsed/>
    <w:rsid w:val="00B4241A"/>
    <w:rPr>
      <w:sz w:val="16"/>
      <w:szCs w:val="16"/>
    </w:rPr>
  </w:style>
  <w:style w:type="paragraph" w:styleId="CommentText">
    <w:name w:val="annotation text"/>
    <w:basedOn w:val="Normal"/>
    <w:link w:val="CommentTextChar"/>
    <w:uiPriority w:val="99"/>
    <w:semiHidden/>
    <w:unhideWhenUsed/>
    <w:rsid w:val="00B4241A"/>
    <w:pPr>
      <w:spacing w:line="240" w:lineRule="auto"/>
    </w:pPr>
    <w:rPr>
      <w:sz w:val="20"/>
      <w:szCs w:val="20"/>
    </w:rPr>
  </w:style>
  <w:style w:type="character" w:customStyle="1" w:styleId="CommentTextChar">
    <w:name w:val="Comment Text Char"/>
    <w:basedOn w:val="DefaultParagraphFont"/>
    <w:link w:val="CommentText"/>
    <w:uiPriority w:val="99"/>
    <w:semiHidden/>
    <w:rsid w:val="00B4241A"/>
    <w:rPr>
      <w:sz w:val="20"/>
      <w:szCs w:val="20"/>
    </w:rPr>
  </w:style>
  <w:style w:type="paragraph" w:styleId="CommentSubject">
    <w:name w:val="annotation subject"/>
    <w:basedOn w:val="CommentText"/>
    <w:next w:val="CommentText"/>
    <w:link w:val="CommentSubjectChar"/>
    <w:uiPriority w:val="99"/>
    <w:semiHidden/>
    <w:unhideWhenUsed/>
    <w:rsid w:val="00B4241A"/>
    <w:rPr>
      <w:b/>
      <w:bCs/>
    </w:rPr>
  </w:style>
  <w:style w:type="character" w:customStyle="1" w:styleId="CommentSubjectChar">
    <w:name w:val="Comment Subject Char"/>
    <w:basedOn w:val="CommentTextChar"/>
    <w:link w:val="CommentSubject"/>
    <w:uiPriority w:val="99"/>
    <w:semiHidden/>
    <w:rsid w:val="00B424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010">
      <w:bodyDiv w:val="1"/>
      <w:marLeft w:val="0"/>
      <w:marRight w:val="0"/>
      <w:marTop w:val="0"/>
      <w:marBottom w:val="0"/>
      <w:divBdr>
        <w:top w:val="none" w:sz="0" w:space="0" w:color="auto"/>
        <w:left w:val="none" w:sz="0" w:space="0" w:color="auto"/>
        <w:bottom w:val="none" w:sz="0" w:space="0" w:color="auto"/>
        <w:right w:val="none" w:sz="0" w:space="0" w:color="auto"/>
      </w:divBdr>
    </w:div>
    <w:div w:id="127742568">
      <w:bodyDiv w:val="1"/>
      <w:marLeft w:val="0"/>
      <w:marRight w:val="0"/>
      <w:marTop w:val="0"/>
      <w:marBottom w:val="0"/>
      <w:divBdr>
        <w:top w:val="none" w:sz="0" w:space="0" w:color="auto"/>
        <w:left w:val="none" w:sz="0" w:space="0" w:color="auto"/>
        <w:bottom w:val="none" w:sz="0" w:space="0" w:color="auto"/>
        <w:right w:val="none" w:sz="0" w:space="0" w:color="auto"/>
      </w:divBdr>
    </w:div>
    <w:div w:id="325090270">
      <w:bodyDiv w:val="1"/>
      <w:marLeft w:val="0"/>
      <w:marRight w:val="0"/>
      <w:marTop w:val="0"/>
      <w:marBottom w:val="0"/>
      <w:divBdr>
        <w:top w:val="none" w:sz="0" w:space="0" w:color="auto"/>
        <w:left w:val="none" w:sz="0" w:space="0" w:color="auto"/>
        <w:bottom w:val="none" w:sz="0" w:space="0" w:color="auto"/>
        <w:right w:val="none" w:sz="0" w:space="0" w:color="auto"/>
      </w:divBdr>
    </w:div>
    <w:div w:id="415906385">
      <w:bodyDiv w:val="1"/>
      <w:marLeft w:val="0"/>
      <w:marRight w:val="0"/>
      <w:marTop w:val="0"/>
      <w:marBottom w:val="0"/>
      <w:divBdr>
        <w:top w:val="none" w:sz="0" w:space="0" w:color="auto"/>
        <w:left w:val="none" w:sz="0" w:space="0" w:color="auto"/>
        <w:bottom w:val="none" w:sz="0" w:space="0" w:color="auto"/>
        <w:right w:val="none" w:sz="0" w:space="0" w:color="auto"/>
      </w:divBdr>
    </w:div>
    <w:div w:id="469445915">
      <w:bodyDiv w:val="1"/>
      <w:marLeft w:val="0"/>
      <w:marRight w:val="0"/>
      <w:marTop w:val="0"/>
      <w:marBottom w:val="0"/>
      <w:divBdr>
        <w:top w:val="none" w:sz="0" w:space="0" w:color="auto"/>
        <w:left w:val="none" w:sz="0" w:space="0" w:color="auto"/>
        <w:bottom w:val="none" w:sz="0" w:space="0" w:color="auto"/>
        <w:right w:val="none" w:sz="0" w:space="0" w:color="auto"/>
      </w:divBdr>
    </w:div>
    <w:div w:id="480460807">
      <w:bodyDiv w:val="1"/>
      <w:marLeft w:val="0"/>
      <w:marRight w:val="0"/>
      <w:marTop w:val="0"/>
      <w:marBottom w:val="0"/>
      <w:divBdr>
        <w:top w:val="none" w:sz="0" w:space="0" w:color="auto"/>
        <w:left w:val="none" w:sz="0" w:space="0" w:color="auto"/>
        <w:bottom w:val="none" w:sz="0" w:space="0" w:color="auto"/>
        <w:right w:val="none" w:sz="0" w:space="0" w:color="auto"/>
      </w:divBdr>
      <w:divsChild>
        <w:div w:id="1699548752">
          <w:marLeft w:val="0"/>
          <w:marRight w:val="0"/>
          <w:marTop w:val="0"/>
          <w:marBottom w:val="0"/>
          <w:divBdr>
            <w:top w:val="none" w:sz="0" w:space="0" w:color="auto"/>
            <w:left w:val="none" w:sz="0" w:space="0" w:color="auto"/>
            <w:bottom w:val="none" w:sz="0" w:space="0" w:color="auto"/>
            <w:right w:val="none" w:sz="0" w:space="0" w:color="auto"/>
          </w:divBdr>
          <w:divsChild>
            <w:div w:id="11733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12306">
      <w:bodyDiv w:val="1"/>
      <w:marLeft w:val="0"/>
      <w:marRight w:val="0"/>
      <w:marTop w:val="0"/>
      <w:marBottom w:val="0"/>
      <w:divBdr>
        <w:top w:val="none" w:sz="0" w:space="0" w:color="auto"/>
        <w:left w:val="none" w:sz="0" w:space="0" w:color="auto"/>
        <w:bottom w:val="none" w:sz="0" w:space="0" w:color="auto"/>
        <w:right w:val="none" w:sz="0" w:space="0" w:color="auto"/>
      </w:divBdr>
      <w:divsChild>
        <w:div w:id="1521891903">
          <w:marLeft w:val="0"/>
          <w:marRight w:val="0"/>
          <w:marTop w:val="0"/>
          <w:marBottom w:val="0"/>
          <w:divBdr>
            <w:top w:val="none" w:sz="0" w:space="0" w:color="auto"/>
            <w:left w:val="none" w:sz="0" w:space="0" w:color="auto"/>
            <w:bottom w:val="none" w:sz="0" w:space="0" w:color="auto"/>
            <w:right w:val="none" w:sz="0" w:space="0" w:color="auto"/>
          </w:divBdr>
          <w:divsChild>
            <w:div w:id="377167840">
              <w:marLeft w:val="0"/>
              <w:marRight w:val="0"/>
              <w:marTop w:val="0"/>
              <w:marBottom w:val="0"/>
              <w:divBdr>
                <w:top w:val="none" w:sz="0" w:space="0" w:color="auto"/>
                <w:left w:val="none" w:sz="0" w:space="0" w:color="auto"/>
                <w:bottom w:val="none" w:sz="0" w:space="0" w:color="auto"/>
                <w:right w:val="none" w:sz="0" w:space="0" w:color="auto"/>
              </w:divBdr>
              <w:divsChild>
                <w:div w:id="530921930">
                  <w:marLeft w:val="0"/>
                  <w:marRight w:val="0"/>
                  <w:marTop w:val="0"/>
                  <w:marBottom w:val="0"/>
                  <w:divBdr>
                    <w:top w:val="none" w:sz="0" w:space="0" w:color="auto"/>
                    <w:left w:val="none" w:sz="0" w:space="0" w:color="auto"/>
                    <w:bottom w:val="none" w:sz="0" w:space="0" w:color="auto"/>
                    <w:right w:val="none" w:sz="0" w:space="0" w:color="auto"/>
                  </w:divBdr>
                  <w:divsChild>
                    <w:div w:id="401485771">
                      <w:marLeft w:val="0"/>
                      <w:marRight w:val="0"/>
                      <w:marTop w:val="0"/>
                      <w:marBottom w:val="0"/>
                      <w:divBdr>
                        <w:top w:val="none" w:sz="0" w:space="0" w:color="auto"/>
                        <w:left w:val="none" w:sz="0" w:space="0" w:color="auto"/>
                        <w:bottom w:val="none" w:sz="0" w:space="0" w:color="auto"/>
                        <w:right w:val="none" w:sz="0" w:space="0" w:color="auto"/>
                      </w:divBdr>
                      <w:divsChild>
                        <w:div w:id="592593205">
                          <w:marLeft w:val="0"/>
                          <w:marRight w:val="-14400"/>
                          <w:marTop w:val="0"/>
                          <w:marBottom w:val="0"/>
                          <w:divBdr>
                            <w:top w:val="none" w:sz="0" w:space="0" w:color="auto"/>
                            <w:left w:val="none" w:sz="0" w:space="0" w:color="auto"/>
                            <w:bottom w:val="none" w:sz="0" w:space="0" w:color="auto"/>
                            <w:right w:val="none" w:sz="0" w:space="0" w:color="auto"/>
                          </w:divBdr>
                          <w:divsChild>
                            <w:div w:id="436945035">
                              <w:marLeft w:val="150"/>
                              <w:marRight w:val="150"/>
                              <w:marTop w:val="225"/>
                              <w:marBottom w:val="0"/>
                              <w:divBdr>
                                <w:top w:val="none" w:sz="0" w:space="0" w:color="auto"/>
                                <w:left w:val="none" w:sz="0" w:space="0" w:color="auto"/>
                                <w:bottom w:val="none" w:sz="0" w:space="0" w:color="auto"/>
                                <w:right w:val="none" w:sz="0" w:space="0" w:color="auto"/>
                              </w:divBdr>
                              <w:divsChild>
                                <w:div w:id="962735681">
                                  <w:marLeft w:val="0"/>
                                  <w:marRight w:val="0"/>
                                  <w:marTop w:val="150"/>
                                  <w:marBottom w:val="150"/>
                                  <w:divBdr>
                                    <w:top w:val="none" w:sz="0" w:space="0" w:color="auto"/>
                                    <w:left w:val="none" w:sz="0" w:space="0" w:color="auto"/>
                                    <w:bottom w:val="none" w:sz="0" w:space="0" w:color="auto"/>
                                    <w:right w:val="none" w:sz="0" w:space="0" w:color="auto"/>
                                  </w:divBdr>
                                  <w:divsChild>
                                    <w:div w:id="1884243878">
                                      <w:marLeft w:val="0"/>
                                      <w:marRight w:val="0"/>
                                      <w:marTop w:val="0"/>
                                      <w:marBottom w:val="0"/>
                                      <w:divBdr>
                                        <w:top w:val="none" w:sz="0" w:space="0" w:color="auto"/>
                                        <w:left w:val="none" w:sz="0" w:space="0" w:color="auto"/>
                                        <w:bottom w:val="none" w:sz="0" w:space="0" w:color="auto"/>
                                        <w:right w:val="none" w:sz="0" w:space="0" w:color="auto"/>
                                      </w:divBdr>
                                      <w:divsChild>
                                        <w:div w:id="419496966">
                                          <w:marLeft w:val="0"/>
                                          <w:marRight w:val="0"/>
                                          <w:marTop w:val="0"/>
                                          <w:marBottom w:val="0"/>
                                          <w:divBdr>
                                            <w:top w:val="none" w:sz="0" w:space="0" w:color="auto"/>
                                            <w:left w:val="none" w:sz="0" w:space="0" w:color="auto"/>
                                            <w:bottom w:val="none" w:sz="0" w:space="0" w:color="auto"/>
                                            <w:right w:val="none" w:sz="0" w:space="0" w:color="auto"/>
                                          </w:divBdr>
                                          <w:divsChild>
                                            <w:div w:id="1608581985">
                                              <w:marLeft w:val="0"/>
                                              <w:marRight w:val="0"/>
                                              <w:marTop w:val="0"/>
                                              <w:marBottom w:val="0"/>
                                              <w:divBdr>
                                                <w:top w:val="none" w:sz="0" w:space="0" w:color="auto"/>
                                                <w:left w:val="none" w:sz="0" w:space="0" w:color="auto"/>
                                                <w:bottom w:val="none" w:sz="0" w:space="0" w:color="auto"/>
                                                <w:right w:val="none" w:sz="0" w:space="0" w:color="auto"/>
                                              </w:divBdr>
                                              <w:divsChild>
                                                <w:div w:id="1134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017151">
      <w:bodyDiv w:val="1"/>
      <w:marLeft w:val="0"/>
      <w:marRight w:val="0"/>
      <w:marTop w:val="0"/>
      <w:marBottom w:val="0"/>
      <w:divBdr>
        <w:top w:val="none" w:sz="0" w:space="0" w:color="auto"/>
        <w:left w:val="none" w:sz="0" w:space="0" w:color="auto"/>
        <w:bottom w:val="none" w:sz="0" w:space="0" w:color="auto"/>
        <w:right w:val="none" w:sz="0" w:space="0" w:color="auto"/>
      </w:divBdr>
    </w:div>
    <w:div w:id="561984927">
      <w:bodyDiv w:val="1"/>
      <w:marLeft w:val="0"/>
      <w:marRight w:val="0"/>
      <w:marTop w:val="0"/>
      <w:marBottom w:val="0"/>
      <w:divBdr>
        <w:top w:val="none" w:sz="0" w:space="0" w:color="auto"/>
        <w:left w:val="none" w:sz="0" w:space="0" w:color="auto"/>
        <w:bottom w:val="none" w:sz="0" w:space="0" w:color="auto"/>
        <w:right w:val="none" w:sz="0" w:space="0" w:color="auto"/>
      </w:divBdr>
      <w:divsChild>
        <w:div w:id="1147942349">
          <w:marLeft w:val="0"/>
          <w:marRight w:val="0"/>
          <w:marTop w:val="0"/>
          <w:marBottom w:val="0"/>
          <w:divBdr>
            <w:top w:val="none" w:sz="0" w:space="0" w:color="auto"/>
            <w:left w:val="none" w:sz="0" w:space="0" w:color="auto"/>
            <w:bottom w:val="none" w:sz="0" w:space="0" w:color="auto"/>
            <w:right w:val="none" w:sz="0" w:space="0" w:color="auto"/>
          </w:divBdr>
          <w:divsChild>
            <w:div w:id="1741439025">
              <w:marLeft w:val="0"/>
              <w:marRight w:val="0"/>
              <w:marTop w:val="0"/>
              <w:marBottom w:val="300"/>
              <w:divBdr>
                <w:top w:val="none" w:sz="0" w:space="0" w:color="auto"/>
                <w:left w:val="none" w:sz="0" w:space="0" w:color="auto"/>
                <w:bottom w:val="none" w:sz="0" w:space="0" w:color="auto"/>
                <w:right w:val="none" w:sz="0" w:space="0" w:color="auto"/>
              </w:divBdr>
              <w:divsChild>
                <w:div w:id="18356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4059">
      <w:bodyDiv w:val="1"/>
      <w:marLeft w:val="0"/>
      <w:marRight w:val="0"/>
      <w:marTop w:val="0"/>
      <w:marBottom w:val="0"/>
      <w:divBdr>
        <w:top w:val="none" w:sz="0" w:space="0" w:color="auto"/>
        <w:left w:val="none" w:sz="0" w:space="0" w:color="auto"/>
        <w:bottom w:val="none" w:sz="0" w:space="0" w:color="auto"/>
        <w:right w:val="none" w:sz="0" w:space="0" w:color="auto"/>
      </w:divBdr>
      <w:divsChild>
        <w:div w:id="1924021984">
          <w:marLeft w:val="0"/>
          <w:marRight w:val="0"/>
          <w:marTop w:val="0"/>
          <w:marBottom w:val="0"/>
          <w:divBdr>
            <w:top w:val="none" w:sz="0" w:space="0" w:color="auto"/>
            <w:left w:val="none" w:sz="0" w:space="0" w:color="auto"/>
            <w:bottom w:val="none" w:sz="0" w:space="0" w:color="auto"/>
            <w:right w:val="none" w:sz="0" w:space="0" w:color="auto"/>
          </w:divBdr>
          <w:divsChild>
            <w:div w:id="825511968">
              <w:marLeft w:val="0"/>
              <w:marRight w:val="0"/>
              <w:marTop w:val="0"/>
              <w:marBottom w:val="0"/>
              <w:divBdr>
                <w:top w:val="none" w:sz="0" w:space="0" w:color="auto"/>
                <w:left w:val="none" w:sz="0" w:space="0" w:color="auto"/>
                <w:bottom w:val="none" w:sz="0" w:space="0" w:color="auto"/>
                <w:right w:val="none" w:sz="0" w:space="0" w:color="auto"/>
              </w:divBdr>
              <w:divsChild>
                <w:div w:id="1478304695">
                  <w:marLeft w:val="0"/>
                  <w:marRight w:val="0"/>
                  <w:marTop w:val="0"/>
                  <w:marBottom w:val="0"/>
                  <w:divBdr>
                    <w:top w:val="none" w:sz="0" w:space="0" w:color="auto"/>
                    <w:left w:val="none" w:sz="0" w:space="0" w:color="auto"/>
                    <w:bottom w:val="none" w:sz="0" w:space="0" w:color="auto"/>
                    <w:right w:val="none" w:sz="0" w:space="0" w:color="auto"/>
                  </w:divBdr>
                  <w:divsChild>
                    <w:div w:id="668024495">
                      <w:marLeft w:val="0"/>
                      <w:marRight w:val="0"/>
                      <w:marTop w:val="0"/>
                      <w:marBottom w:val="0"/>
                      <w:divBdr>
                        <w:top w:val="none" w:sz="0" w:space="0" w:color="auto"/>
                        <w:left w:val="none" w:sz="0" w:space="0" w:color="auto"/>
                        <w:bottom w:val="none" w:sz="0" w:space="0" w:color="auto"/>
                        <w:right w:val="none" w:sz="0" w:space="0" w:color="auto"/>
                      </w:divBdr>
                      <w:divsChild>
                        <w:div w:id="736586353">
                          <w:marLeft w:val="0"/>
                          <w:marRight w:val="-14400"/>
                          <w:marTop w:val="0"/>
                          <w:marBottom w:val="0"/>
                          <w:divBdr>
                            <w:top w:val="none" w:sz="0" w:space="0" w:color="auto"/>
                            <w:left w:val="none" w:sz="0" w:space="0" w:color="auto"/>
                            <w:bottom w:val="none" w:sz="0" w:space="0" w:color="auto"/>
                            <w:right w:val="none" w:sz="0" w:space="0" w:color="auto"/>
                          </w:divBdr>
                          <w:divsChild>
                            <w:div w:id="2074693825">
                              <w:marLeft w:val="150"/>
                              <w:marRight w:val="150"/>
                              <w:marTop w:val="225"/>
                              <w:marBottom w:val="0"/>
                              <w:divBdr>
                                <w:top w:val="none" w:sz="0" w:space="0" w:color="auto"/>
                                <w:left w:val="none" w:sz="0" w:space="0" w:color="auto"/>
                                <w:bottom w:val="none" w:sz="0" w:space="0" w:color="auto"/>
                                <w:right w:val="none" w:sz="0" w:space="0" w:color="auto"/>
                              </w:divBdr>
                              <w:divsChild>
                                <w:div w:id="623268749">
                                  <w:marLeft w:val="0"/>
                                  <w:marRight w:val="0"/>
                                  <w:marTop w:val="150"/>
                                  <w:marBottom w:val="150"/>
                                  <w:divBdr>
                                    <w:top w:val="none" w:sz="0" w:space="0" w:color="auto"/>
                                    <w:left w:val="none" w:sz="0" w:space="0" w:color="auto"/>
                                    <w:bottom w:val="none" w:sz="0" w:space="0" w:color="auto"/>
                                    <w:right w:val="none" w:sz="0" w:space="0" w:color="auto"/>
                                  </w:divBdr>
                                  <w:divsChild>
                                    <w:div w:id="888499122">
                                      <w:marLeft w:val="0"/>
                                      <w:marRight w:val="0"/>
                                      <w:marTop w:val="0"/>
                                      <w:marBottom w:val="0"/>
                                      <w:divBdr>
                                        <w:top w:val="none" w:sz="0" w:space="0" w:color="auto"/>
                                        <w:left w:val="none" w:sz="0" w:space="0" w:color="auto"/>
                                        <w:bottom w:val="none" w:sz="0" w:space="0" w:color="auto"/>
                                        <w:right w:val="none" w:sz="0" w:space="0" w:color="auto"/>
                                      </w:divBdr>
                                      <w:divsChild>
                                        <w:div w:id="1386639082">
                                          <w:marLeft w:val="0"/>
                                          <w:marRight w:val="0"/>
                                          <w:marTop w:val="0"/>
                                          <w:marBottom w:val="0"/>
                                          <w:divBdr>
                                            <w:top w:val="none" w:sz="0" w:space="0" w:color="auto"/>
                                            <w:left w:val="none" w:sz="0" w:space="0" w:color="auto"/>
                                            <w:bottom w:val="none" w:sz="0" w:space="0" w:color="auto"/>
                                            <w:right w:val="none" w:sz="0" w:space="0" w:color="auto"/>
                                          </w:divBdr>
                                          <w:divsChild>
                                            <w:div w:id="2054386535">
                                              <w:marLeft w:val="0"/>
                                              <w:marRight w:val="0"/>
                                              <w:marTop w:val="0"/>
                                              <w:marBottom w:val="0"/>
                                              <w:divBdr>
                                                <w:top w:val="none" w:sz="0" w:space="0" w:color="auto"/>
                                                <w:left w:val="none" w:sz="0" w:space="0" w:color="auto"/>
                                                <w:bottom w:val="none" w:sz="0" w:space="0" w:color="auto"/>
                                                <w:right w:val="none" w:sz="0" w:space="0" w:color="auto"/>
                                              </w:divBdr>
                                              <w:divsChild>
                                                <w:div w:id="7865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504161">
      <w:bodyDiv w:val="1"/>
      <w:marLeft w:val="0"/>
      <w:marRight w:val="0"/>
      <w:marTop w:val="0"/>
      <w:marBottom w:val="0"/>
      <w:divBdr>
        <w:top w:val="none" w:sz="0" w:space="0" w:color="auto"/>
        <w:left w:val="none" w:sz="0" w:space="0" w:color="auto"/>
        <w:bottom w:val="none" w:sz="0" w:space="0" w:color="auto"/>
        <w:right w:val="none" w:sz="0" w:space="0" w:color="auto"/>
      </w:divBdr>
    </w:div>
    <w:div w:id="1335259752">
      <w:bodyDiv w:val="1"/>
      <w:marLeft w:val="0"/>
      <w:marRight w:val="0"/>
      <w:marTop w:val="0"/>
      <w:marBottom w:val="0"/>
      <w:divBdr>
        <w:top w:val="none" w:sz="0" w:space="0" w:color="auto"/>
        <w:left w:val="none" w:sz="0" w:space="0" w:color="auto"/>
        <w:bottom w:val="none" w:sz="0" w:space="0" w:color="auto"/>
        <w:right w:val="none" w:sz="0" w:space="0" w:color="auto"/>
      </w:divBdr>
    </w:div>
    <w:div w:id="1340348049">
      <w:bodyDiv w:val="1"/>
      <w:marLeft w:val="0"/>
      <w:marRight w:val="0"/>
      <w:marTop w:val="0"/>
      <w:marBottom w:val="0"/>
      <w:divBdr>
        <w:top w:val="none" w:sz="0" w:space="0" w:color="auto"/>
        <w:left w:val="none" w:sz="0" w:space="0" w:color="auto"/>
        <w:bottom w:val="none" w:sz="0" w:space="0" w:color="auto"/>
        <w:right w:val="none" w:sz="0" w:space="0" w:color="auto"/>
      </w:divBdr>
      <w:divsChild>
        <w:div w:id="423109306">
          <w:marLeft w:val="0"/>
          <w:marRight w:val="0"/>
          <w:marTop w:val="0"/>
          <w:marBottom w:val="0"/>
          <w:divBdr>
            <w:top w:val="none" w:sz="0" w:space="0" w:color="auto"/>
            <w:left w:val="none" w:sz="0" w:space="0" w:color="auto"/>
            <w:bottom w:val="none" w:sz="0" w:space="0" w:color="auto"/>
            <w:right w:val="none" w:sz="0" w:space="0" w:color="auto"/>
          </w:divBdr>
          <w:divsChild>
            <w:div w:id="500504908">
              <w:marLeft w:val="0"/>
              <w:marRight w:val="0"/>
              <w:marTop w:val="0"/>
              <w:marBottom w:val="0"/>
              <w:divBdr>
                <w:top w:val="none" w:sz="0" w:space="0" w:color="auto"/>
                <w:left w:val="none" w:sz="0" w:space="0" w:color="auto"/>
                <w:bottom w:val="none" w:sz="0" w:space="0" w:color="auto"/>
                <w:right w:val="none" w:sz="0" w:space="0" w:color="auto"/>
              </w:divBdr>
              <w:divsChild>
                <w:div w:id="315107788">
                  <w:marLeft w:val="0"/>
                  <w:marRight w:val="0"/>
                  <w:marTop w:val="0"/>
                  <w:marBottom w:val="0"/>
                  <w:divBdr>
                    <w:top w:val="none" w:sz="0" w:space="0" w:color="auto"/>
                    <w:left w:val="none" w:sz="0" w:space="0" w:color="auto"/>
                    <w:bottom w:val="none" w:sz="0" w:space="0" w:color="auto"/>
                    <w:right w:val="none" w:sz="0" w:space="0" w:color="auto"/>
                  </w:divBdr>
                  <w:divsChild>
                    <w:div w:id="2035958425">
                      <w:marLeft w:val="0"/>
                      <w:marRight w:val="0"/>
                      <w:marTop w:val="0"/>
                      <w:marBottom w:val="0"/>
                      <w:divBdr>
                        <w:top w:val="none" w:sz="0" w:space="0" w:color="auto"/>
                        <w:left w:val="none" w:sz="0" w:space="0" w:color="auto"/>
                        <w:bottom w:val="none" w:sz="0" w:space="0" w:color="auto"/>
                        <w:right w:val="none" w:sz="0" w:space="0" w:color="auto"/>
                      </w:divBdr>
                      <w:divsChild>
                        <w:div w:id="1515681680">
                          <w:marLeft w:val="0"/>
                          <w:marRight w:val="-14400"/>
                          <w:marTop w:val="0"/>
                          <w:marBottom w:val="0"/>
                          <w:divBdr>
                            <w:top w:val="none" w:sz="0" w:space="0" w:color="auto"/>
                            <w:left w:val="none" w:sz="0" w:space="0" w:color="auto"/>
                            <w:bottom w:val="none" w:sz="0" w:space="0" w:color="auto"/>
                            <w:right w:val="none" w:sz="0" w:space="0" w:color="auto"/>
                          </w:divBdr>
                          <w:divsChild>
                            <w:div w:id="393821564">
                              <w:marLeft w:val="150"/>
                              <w:marRight w:val="150"/>
                              <w:marTop w:val="225"/>
                              <w:marBottom w:val="0"/>
                              <w:divBdr>
                                <w:top w:val="none" w:sz="0" w:space="0" w:color="auto"/>
                                <w:left w:val="none" w:sz="0" w:space="0" w:color="auto"/>
                                <w:bottom w:val="none" w:sz="0" w:space="0" w:color="auto"/>
                                <w:right w:val="none" w:sz="0" w:space="0" w:color="auto"/>
                              </w:divBdr>
                              <w:divsChild>
                                <w:div w:id="1395474060">
                                  <w:marLeft w:val="0"/>
                                  <w:marRight w:val="0"/>
                                  <w:marTop w:val="150"/>
                                  <w:marBottom w:val="150"/>
                                  <w:divBdr>
                                    <w:top w:val="none" w:sz="0" w:space="0" w:color="auto"/>
                                    <w:left w:val="none" w:sz="0" w:space="0" w:color="auto"/>
                                    <w:bottom w:val="none" w:sz="0" w:space="0" w:color="auto"/>
                                    <w:right w:val="none" w:sz="0" w:space="0" w:color="auto"/>
                                  </w:divBdr>
                                  <w:divsChild>
                                    <w:div w:id="1172647244">
                                      <w:marLeft w:val="0"/>
                                      <w:marRight w:val="0"/>
                                      <w:marTop w:val="0"/>
                                      <w:marBottom w:val="0"/>
                                      <w:divBdr>
                                        <w:top w:val="none" w:sz="0" w:space="0" w:color="auto"/>
                                        <w:left w:val="none" w:sz="0" w:space="0" w:color="auto"/>
                                        <w:bottom w:val="none" w:sz="0" w:space="0" w:color="auto"/>
                                        <w:right w:val="none" w:sz="0" w:space="0" w:color="auto"/>
                                      </w:divBdr>
                                      <w:divsChild>
                                        <w:div w:id="779183316">
                                          <w:marLeft w:val="0"/>
                                          <w:marRight w:val="0"/>
                                          <w:marTop w:val="0"/>
                                          <w:marBottom w:val="0"/>
                                          <w:divBdr>
                                            <w:top w:val="none" w:sz="0" w:space="0" w:color="auto"/>
                                            <w:left w:val="none" w:sz="0" w:space="0" w:color="auto"/>
                                            <w:bottom w:val="none" w:sz="0" w:space="0" w:color="auto"/>
                                            <w:right w:val="none" w:sz="0" w:space="0" w:color="auto"/>
                                          </w:divBdr>
                                          <w:divsChild>
                                            <w:div w:id="1112746448">
                                              <w:marLeft w:val="0"/>
                                              <w:marRight w:val="0"/>
                                              <w:marTop w:val="0"/>
                                              <w:marBottom w:val="0"/>
                                              <w:divBdr>
                                                <w:top w:val="none" w:sz="0" w:space="0" w:color="auto"/>
                                                <w:left w:val="none" w:sz="0" w:space="0" w:color="auto"/>
                                                <w:bottom w:val="none" w:sz="0" w:space="0" w:color="auto"/>
                                                <w:right w:val="none" w:sz="0" w:space="0" w:color="auto"/>
                                              </w:divBdr>
                                              <w:divsChild>
                                                <w:div w:id="7074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448404">
      <w:bodyDiv w:val="1"/>
      <w:marLeft w:val="0"/>
      <w:marRight w:val="0"/>
      <w:marTop w:val="0"/>
      <w:marBottom w:val="0"/>
      <w:divBdr>
        <w:top w:val="none" w:sz="0" w:space="0" w:color="auto"/>
        <w:left w:val="none" w:sz="0" w:space="0" w:color="auto"/>
        <w:bottom w:val="none" w:sz="0" w:space="0" w:color="auto"/>
        <w:right w:val="none" w:sz="0" w:space="0" w:color="auto"/>
      </w:divBdr>
    </w:div>
    <w:div w:id="1452479793">
      <w:bodyDiv w:val="1"/>
      <w:marLeft w:val="0"/>
      <w:marRight w:val="0"/>
      <w:marTop w:val="0"/>
      <w:marBottom w:val="0"/>
      <w:divBdr>
        <w:top w:val="none" w:sz="0" w:space="0" w:color="auto"/>
        <w:left w:val="none" w:sz="0" w:space="0" w:color="auto"/>
        <w:bottom w:val="none" w:sz="0" w:space="0" w:color="auto"/>
        <w:right w:val="none" w:sz="0" w:space="0" w:color="auto"/>
      </w:divBdr>
    </w:div>
    <w:div w:id="1607695670">
      <w:bodyDiv w:val="1"/>
      <w:marLeft w:val="0"/>
      <w:marRight w:val="0"/>
      <w:marTop w:val="0"/>
      <w:marBottom w:val="0"/>
      <w:divBdr>
        <w:top w:val="none" w:sz="0" w:space="0" w:color="auto"/>
        <w:left w:val="none" w:sz="0" w:space="0" w:color="auto"/>
        <w:bottom w:val="none" w:sz="0" w:space="0" w:color="auto"/>
        <w:right w:val="none" w:sz="0" w:space="0" w:color="auto"/>
      </w:divBdr>
    </w:div>
    <w:div w:id="1787768179">
      <w:bodyDiv w:val="1"/>
      <w:marLeft w:val="0"/>
      <w:marRight w:val="0"/>
      <w:marTop w:val="0"/>
      <w:marBottom w:val="0"/>
      <w:divBdr>
        <w:top w:val="none" w:sz="0" w:space="0" w:color="auto"/>
        <w:left w:val="none" w:sz="0" w:space="0" w:color="auto"/>
        <w:bottom w:val="none" w:sz="0" w:space="0" w:color="auto"/>
        <w:right w:val="none" w:sz="0" w:space="0" w:color="auto"/>
      </w:divBdr>
      <w:divsChild>
        <w:div w:id="1483043120">
          <w:marLeft w:val="0"/>
          <w:marRight w:val="0"/>
          <w:marTop w:val="0"/>
          <w:marBottom w:val="0"/>
          <w:divBdr>
            <w:top w:val="none" w:sz="0" w:space="0" w:color="auto"/>
            <w:left w:val="none" w:sz="0" w:space="0" w:color="auto"/>
            <w:bottom w:val="none" w:sz="0" w:space="0" w:color="auto"/>
            <w:right w:val="none" w:sz="0" w:space="0" w:color="auto"/>
          </w:divBdr>
          <w:divsChild>
            <w:div w:id="14120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764">
      <w:bodyDiv w:val="1"/>
      <w:marLeft w:val="0"/>
      <w:marRight w:val="0"/>
      <w:marTop w:val="0"/>
      <w:marBottom w:val="0"/>
      <w:divBdr>
        <w:top w:val="none" w:sz="0" w:space="0" w:color="auto"/>
        <w:left w:val="none" w:sz="0" w:space="0" w:color="auto"/>
        <w:bottom w:val="none" w:sz="0" w:space="0" w:color="auto"/>
        <w:right w:val="none" w:sz="0" w:space="0" w:color="auto"/>
      </w:divBdr>
      <w:divsChild>
        <w:div w:id="916983055">
          <w:marLeft w:val="0"/>
          <w:marRight w:val="0"/>
          <w:marTop w:val="0"/>
          <w:marBottom w:val="0"/>
          <w:divBdr>
            <w:top w:val="none" w:sz="0" w:space="0" w:color="auto"/>
            <w:left w:val="none" w:sz="0" w:space="0" w:color="auto"/>
            <w:bottom w:val="none" w:sz="0" w:space="0" w:color="auto"/>
            <w:right w:val="none" w:sz="0" w:space="0" w:color="auto"/>
          </w:divBdr>
          <w:divsChild>
            <w:div w:id="348338792">
              <w:marLeft w:val="0"/>
              <w:marRight w:val="0"/>
              <w:marTop w:val="0"/>
              <w:marBottom w:val="0"/>
              <w:divBdr>
                <w:top w:val="none" w:sz="0" w:space="0" w:color="auto"/>
                <w:left w:val="none" w:sz="0" w:space="0" w:color="auto"/>
                <w:bottom w:val="none" w:sz="0" w:space="0" w:color="auto"/>
                <w:right w:val="none" w:sz="0" w:space="0" w:color="auto"/>
              </w:divBdr>
              <w:divsChild>
                <w:div w:id="642152584">
                  <w:marLeft w:val="0"/>
                  <w:marRight w:val="0"/>
                  <w:marTop w:val="0"/>
                  <w:marBottom w:val="900"/>
                  <w:divBdr>
                    <w:top w:val="none" w:sz="0" w:space="0" w:color="auto"/>
                    <w:left w:val="none" w:sz="0" w:space="0" w:color="auto"/>
                    <w:bottom w:val="none" w:sz="0" w:space="0" w:color="auto"/>
                    <w:right w:val="none" w:sz="0" w:space="0" w:color="auto"/>
                  </w:divBdr>
                  <w:divsChild>
                    <w:div w:id="16019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qa.org.uk/sqa/files_ccc/CertWarehousingandStorageL2GA7J54Structure.doc"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ustomer@sqa.org.uk" TargetMode="External"/><Relationship Id="rId4" Type="http://schemas.microsoft.com/office/2007/relationships/stylesWithEffects" Target="stylesWithEffects.xml"/><Relationship Id="rId9" Type="http://schemas.openxmlformats.org/officeDocument/2006/relationships/hyperlink" Target="http://www.sq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8434-C94B-4950-8ED3-BD8495C7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Dailey</dc:creator>
  <cp:lastModifiedBy>Joanne Dailey</cp:lastModifiedBy>
  <cp:revision>7</cp:revision>
  <cp:lastPrinted>2015-08-24T08:57:00Z</cp:lastPrinted>
  <dcterms:created xsi:type="dcterms:W3CDTF">2015-08-27T16:46:00Z</dcterms:created>
  <dcterms:modified xsi:type="dcterms:W3CDTF">2015-09-01T15:04:00Z</dcterms:modified>
</cp:coreProperties>
</file>