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7" w:rsidRDefault="007824B7" w:rsidP="002A7B82">
      <w:pPr>
        <w:spacing w:after="120"/>
        <w:rPr>
          <w:rFonts w:ascii="Arial" w:hAnsi="Arial" w:cs="Arial"/>
          <w:b/>
          <w:sz w:val="22"/>
          <w:szCs w:val="22"/>
        </w:rPr>
      </w:pP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rsidR="003E163D" w:rsidRDefault="002A7B82" w:rsidP="002A7B82">
      <w:pPr>
        <w:spacing w:after="120"/>
        <w:rPr>
          <w:rFonts w:ascii="Arial" w:hAnsi="Arial" w:cs="Arial"/>
          <w:sz w:val="22"/>
          <w:szCs w:val="22"/>
        </w:rPr>
      </w:pPr>
      <w:r w:rsidRPr="002A7B82">
        <w:rPr>
          <w:rFonts w:ascii="Arial" w:hAnsi="Arial" w:cs="Arial"/>
          <w:b/>
          <w:sz w:val="22"/>
          <w:szCs w:val="22"/>
        </w:rPr>
        <w:t xml:space="preserve">ACTION GRID – MEETING </w:t>
      </w:r>
      <w:r w:rsidR="00DF65B5">
        <w:rPr>
          <w:rFonts w:ascii="Arial" w:hAnsi="Arial" w:cs="Arial"/>
          <w:b/>
          <w:sz w:val="22"/>
          <w:szCs w:val="22"/>
        </w:rPr>
        <w:t>2</w:t>
      </w:r>
      <w:r w:rsidR="00660C25">
        <w:rPr>
          <w:rFonts w:ascii="Arial" w:hAnsi="Arial" w:cs="Arial"/>
          <w:b/>
          <w:sz w:val="22"/>
          <w:szCs w:val="22"/>
        </w:rPr>
        <w:t>2</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660C25">
        <w:rPr>
          <w:rFonts w:ascii="Arial" w:hAnsi="Arial" w:cs="Arial"/>
          <w:b/>
          <w:sz w:val="22"/>
          <w:szCs w:val="22"/>
        </w:rPr>
        <w:t>1</w:t>
      </w:r>
      <w:r w:rsidR="00D618FB">
        <w:rPr>
          <w:rFonts w:ascii="Arial" w:hAnsi="Arial" w:cs="Arial"/>
          <w:b/>
          <w:sz w:val="22"/>
          <w:szCs w:val="22"/>
        </w:rPr>
        <w:t xml:space="preserve"> </w:t>
      </w:r>
      <w:r w:rsidR="00660C25">
        <w:rPr>
          <w:rFonts w:ascii="Arial" w:hAnsi="Arial" w:cs="Arial"/>
          <w:b/>
          <w:sz w:val="22"/>
          <w:szCs w:val="22"/>
        </w:rPr>
        <w:t>JUNE</w:t>
      </w:r>
      <w:r w:rsidR="00D618FB">
        <w:rPr>
          <w:rFonts w:ascii="Arial" w:hAnsi="Arial" w:cs="Arial"/>
          <w:b/>
          <w:sz w:val="22"/>
          <w:szCs w:val="22"/>
        </w:rPr>
        <w:t xml:space="preserve"> 201</w:t>
      </w:r>
      <w:r w:rsidR="00660C25">
        <w:rPr>
          <w:rFonts w:ascii="Arial" w:hAnsi="Arial" w:cs="Arial"/>
          <w:b/>
          <w:sz w:val="22"/>
          <w:szCs w:val="22"/>
        </w:rPr>
        <w:t>5</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3E163D" w:rsidRPr="003E163D">
        <w:rPr>
          <w:rFonts w:ascii="Arial" w:hAnsi="Arial" w:cs="Arial"/>
          <w:sz w:val="22"/>
          <w:szCs w:val="22"/>
        </w:rPr>
        <w:t>QM,</w:t>
      </w:r>
      <w:r w:rsidR="003E163D">
        <w:rPr>
          <w:rFonts w:ascii="Arial" w:hAnsi="Arial" w:cs="Arial"/>
          <w:b/>
          <w:sz w:val="22"/>
          <w:szCs w:val="22"/>
        </w:rPr>
        <w:t xml:space="preserve"> </w:t>
      </w:r>
      <w:r w:rsidR="003E163D">
        <w:rPr>
          <w:rFonts w:ascii="Arial" w:hAnsi="Arial" w:cs="Arial"/>
          <w:sz w:val="22"/>
          <w:szCs w:val="22"/>
        </w:rPr>
        <w:t>BAQO, AFQO,</w:t>
      </w:r>
      <w:r w:rsidR="004D50E2">
        <w:rPr>
          <w:rFonts w:ascii="Arial" w:hAnsi="Arial" w:cs="Arial"/>
          <w:sz w:val="22"/>
          <w:szCs w:val="22"/>
        </w:rPr>
        <w:t xml:space="preserve"> </w:t>
      </w:r>
      <w:r w:rsidR="003E163D">
        <w:rPr>
          <w:rFonts w:ascii="Arial" w:hAnsi="Arial" w:cs="Arial"/>
          <w:sz w:val="22"/>
          <w:szCs w:val="22"/>
        </w:rPr>
        <w:t>4 x centre representatives</w:t>
      </w:r>
    </w:p>
    <w:p w:rsidR="00DF65B5" w:rsidRPr="00DF65B5" w:rsidRDefault="00DF65B5" w:rsidP="002A7B82">
      <w:pPr>
        <w:spacing w:after="120"/>
        <w:rPr>
          <w:rFonts w:ascii="Arial" w:hAnsi="Arial" w:cs="Arial"/>
          <w:sz w:val="22"/>
          <w:szCs w:val="22"/>
        </w:rPr>
      </w:pPr>
      <w:r>
        <w:rPr>
          <w:rFonts w:ascii="Arial" w:hAnsi="Arial" w:cs="Arial"/>
          <w:b/>
          <w:sz w:val="22"/>
          <w:szCs w:val="22"/>
        </w:rPr>
        <w:t>Apologies:</w:t>
      </w:r>
      <w:r w:rsidR="00660C25">
        <w:rPr>
          <w:rFonts w:ascii="Arial" w:hAnsi="Arial" w:cs="Arial"/>
          <w:sz w:val="22"/>
          <w:szCs w:val="22"/>
        </w:rPr>
        <w:t xml:space="preserve"> </w:t>
      </w:r>
      <w:r w:rsidR="003E163D">
        <w:rPr>
          <w:rFonts w:ascii="Arial" w:hAnsi="Arial" w:cs="Arial"/>
          <w:sz w:val="22"/>
          <w:szCs w:val="22"/>
        </w:rPr>
        <w:t>2 x centre representatives</w:t>
      </w:r>
    </w:p>
    <w:p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834"/>
        <w:gridCol w:w="7697"/>
        <w:gridCol w:w="1778"/>
        <w:gridCol w:w="2039"/>
      </w:tblGrid>
      <w:tr w:rsidR="002A7B82" w:rsidRPr="00192EB1" w:rsidTr="00F068DF">
        <w:trPr>
          <w:tblHeader/>
        </w:trPr>
        <w:tc>
          <w:tcPr>
            <w:tcW w:w="826"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Ref</w:t>
            </w:r>
          </w:p>
        </w:tc>
        <w:tc>
          <w:tcPr>
            <w:tcW w:w="1834"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697"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A7B82" w:rsidRPr="00192EB1" w:rsidTr="00F068DF">
        <w:tc>
          <w:tcPr>
            <w:tcW w:w="826" w:type="dxa"/>
            <w:shd w:val="clear" w:color="auto" w:fill="auto"/>
            <w:tcMar>
              <w:top w:w="57" w:type="dxa"/>
              <w:bottom w:w="57" w:type="dxa"/>
            </w:tcMar>
          </w:tcPr>
          <w:p w:rsidR="002A7B82" w:rsidRPr="00192EB1" w:rsidRDefault="00DF65B5" w:rsidP="00AD5131">
            <w:pPr>
              <w:rPr>
                <w:rFonts w:ascii="Arial" w:hAnsi="Arial" w:cs="Arial"/>
                <w:sz w:val="22"/>
                <w:szCs w:val="22"/>
              </w:rPr>
            </w:pPr>
            <w:r>
              <w:rPr>
                <w:rFonts w:ascii="Arial" w:hAnsi="Arial" w:cs="Arial"/>
                <w:sz w:val="22"/>
                <w:szCs w:val="22"/>
              </w:rPr>
              <w:t>2</w:t>
            </w:r>
            <w:r w:rsidR="00AD5131">
              <w:rPr>
                <w:rFonts w:ascii="Arial" w:hAnsi="Arial" w:cs="Arial"/>
                <w:sz w:val="22"/>
                <w:szCs w:val="22"/>
              </w:rPr>
              <w:t>2</w:t>
            </w:r>
            <w:r w:rsidR="008D3253">
              <w:rPr>
                <w:rFonts w:ascii="Arial" w:hAnsi="Arial" w:cs="Arial"/>
                <w:sz w:val="22"/>
                <w:szCs w:val="22"/>
              </w:rPr>
              <w:t>/</w:t>
            </w:r>
            <w:r w:rsidR="001C5A1D">
              <w:rPr>
                <w:rFonts w:ascii="Arial" w:hAnsi="Arial" w:cs="Arial"/>
                <w:sz w:val="22"/>
                <w:szCs w:val="22"/>
              </w:rPr>
              <w:t>1</w:t>
            </w:r>
          </w:p>
        </w:tc>
        <w:tc>
          <w:tcPr>
            <w:tcW w:w="1834" w:type="dxa"/>
            <w:shd w:val="clear" w:color="auto" w:fill="auto"/>
            <w:tcMar>
              <w:top w:w="57" w:type="dxa"/>
              <w:bottom w:w="57" w:type="dxa"/>
            </w:tcMar>
          </w:tcPr>
          <w:p w:rsidR="002A7B82" w:rsidRPr="00192EB1" w:rsidRDefault="000A2DE7" w:rsidP="001C5A1D">
            <w:pPr>
              <w:rPr>
                <w:rFonts w:ascii="Arial" w:hAnsi="Arial" w:cs="Arial"/>
                <w:sz w:val="22"/>
                <w:szCs w:val="22"/>
              </w:rPr>
            </w:pPr>
            <w:r w:rsidRPr="00192EB1">
              <w:rPr>
                <w:rFonts w:ascii="Arial" w:hAnsi="Arial" w:cs="Arial"/>
                <w:sz w:val="22"/>
                <w:szCs w:val="22"/>
              </w:rPr>
              <w:t>Welcome</w:t>
            </w:r>
          </w:p>
        </w:tc>
        <w:tc>
          <w:tcPr>
            <w:tcW w:w="7697" w:type="dxa"/>
            <w:shd w:val="clear" w:color="auto" w:fill="auto"/>
            <w:tcMar>
              <w:top w:w="57" w:type="dxa"/>
              <w:bottom w:w="57" w:type="dxa"/>
            </w:tcMar>
          </w:tcPr>
          <w:p w:rsidR="00DF65B5" w:rsidRPr="00192EB1" w:rsidRDefault="00386430" w:rsidP="00DF65B5">
            <w:pPr>
              <w:rPr>
                <w:rFonts w:ascii="Arial" w:hAnsi="Arial" w:cs="Arial"/>
                <w:sz w:val="22"/>
                <w:szCs w:val="22"/>
              </w:rPr>
            </w:pPr>
            <w:r>
              <w:rPr>
                <w:rFonts w:ascii="Arial" w:hAnsi="Arial" w:cs="Arial"/>
                <w:sz w:val="22"/>
                <w:szCs w:val="22"/>
              </w:rPr>
              <w:t>The QM</w:t>
            </w:r>
            <w:r w:rsidR="008D3253">
              <w:rPr>
                <w:rFonts w:ascii="Arial" w:hAnsi="Arial" w:cs="Arial"/>
                <w:sz w:val="22"/>
                <w:szCs w:val="22"/>
              </w:rPr>
              <w:t xml:space="preserve"> wel</w:t>
            </w:r>
            <w:r w:rsidR="00DF65B5">
              <w:rPr>
                <w:rFonts w:ascii="Arial" w:hAnsi="Arial" w:cs="Arial"/>
                <w:sz w:val="22"/>
                <w:szCs w:val="22"/>
              </w:rPr>
              <w:t>comed everyone to the meeting and provided apologies.</w:t>
            </w:r>
          </w:p>
          <w:p w:rsidR="004D50E2" w:rsidRPr="00192EB1" w:rsidRDefault="004D50E2" w:rsidP="004D50E2">
            <w:pPr>
              <w:rPr>
                <w:rFonts w:ascii="Arial" w:hAnsi="Arial" w:cs="Arial"/>
                <w:sz w:val="22"/>
                <w:szCs w:val="22"/>
              </w:rPr>
            </w:pPr>
          </w:p>
        </w:tc>
        <w:tc>
          <w:tcPr>
            <w:tcW w:w="1778" w:type="dxa"/>
            <w:shd w:val="clear" w:color="auto" w:fill="auto"/>
            <w:tcMar>
              <w:top w:w="57" w:type="dxa"/>
              <w:bottom w:w="57" w:type="dxa"/>
            </w:tcMar>
          </w:tcPr>
          <w:p w:rsidR="002A7B82" w:rsidRPr="00192EB1" w:rsidRDefault="002A7B82">
            <w:pPr>
              <w:rPr>
                <w:rFonts w:ascii="Arial" w:hAnsi="Arial" w:cs="Arial"/>
                <w:sz w:val="22"/>
                <w:szCs w:val="22"/>
              </w:rPr>
            </w:pPr>
          </w:p>
        </w:tc>
        <w:tc>
          <w:tcPr>
            <w:tcW w:w="2039" w:type="dxa"/>
            <w:shd w:val="clear" w:color="auto" w:fill="auto"/>
            <w:tcMar>
              <w:top w:w="57" w:type="dxa"/>
              <w:bottom w:w="57" w:type="dxa"/>
            </w:tcMar>
          </w:tcPr>
          <w:p w:rsidR="002A7B82" w:rsidRPr="00192EB1" w:rsidRDefault="002A7B82">
            <w:pPr>
              <w:rPr>
                <w:rFonts w:ascii="Arial" w:hAnsi="Arial" w:cs="Arial"/>
                <w:sz w:val="22"/>
                <w:szCs w:val="22"/>
              </w:rPr>
            </w:pPr>
          </w:p>
        </w:tc>
      </w:tr>
      <w:tr w:rsidR="002A7B82" w:rsidRPr="00192EB1" w:rsidTr="00F068DF">
        <w:tc>
          <w:tcPr>
            <w:tcW w:w="826" w:type="dxa"/>
            <w:shd w:val="clear" w:color="auto" w:fill="auto"/>
            <w:tcMar>
              <w:top w:w="57" w:type="dxa"/>
              <w:bottom w:w="57" w:type="dxa"/>
            </w:tcMar>
          </w:tcPr>
          <w:p w:rsidR="002A7B82" w:rsidRPr="00192EB1" w:rsidRDefault="00DF65B5" w:rsidP="00AD5131">
            <w:pPr>
              <w:rPr>
                <w:rFonts w:ascii="Arial" w:hAnsi="Arial" w:cs="Arial"/>
                <w:sz w:val="22"/>
                <w:szCs w:val="22"/>
              </w:rPr>
            </w:pPr>
            <w:r>
              <w:rPr>
                <w:rFonts w:ascii="Arial" w:hAnsi="Arial" w:cs="Arial"/>
                <w:sz w:val="22"/>
                <w:szCs w:val="22"/>
              </w:rPr>
              <w:t>2</w:t>
            </w:r>
            <w:r w:rsidR="00AD5131">
              <w:rPr>
                <w:rFonts w:ascii="Arial" w:hAnsi="Arial" w:cs="Arial"/>
                <w:sz w:val="22"/>
                <w:szCs w:val="22"/>
              </w:rPr>
              <w:t>2</w:t>
            </w:r>
            <w:r w:rsidR="008D3253">
              <w:rPr>
                <w:rFonts w:ascii="Arial" w:hAnsi="Arial" w:cs="Arial"/>
                <w:sz w:val="22"/>
                <w:szCs w:val="22"/>
              </w:rPr>
              <w:t>/2</w:t>
            </w:r>
          </w:p>
        </w:tc>
        <w:tc>
          <w:tcPr>
            <w:tcW w:w="1834" w:type="dxa"/>
            <w:shd w:val="clear" w:color="auto" w:fill="auto"/>
            <w:tcMar>
              <w:top w:w="57" w:type="dxa"/>
              <w:bottom w:w="57" w:type="dxa"/>
            </w:tcMar>
          </w:tcPr>
          <w:p w:rsidR="002A7B82" w:rsidRPr="00192EB1" w:rsidRDefault="009000D4" w:rsidP="00AD5131">
            <w:pPr>
              <w:rPr>
                <w:rFonts w:ascii="Arial" w:hAnsi="Arial" w:cs="Arial"/>
                <w:sz w:val="22"/>
                <w:szCs w:val="22"/>
              </w:rPr>
            </w:pPr>
            <w:r w:rsidRPr="00192EB1">
              <w:rPr>
                <w:rFonts w:ascii="Arial" w:hAnsi="Arial" w:cs="Arial"/>
                <w:sz w:val="22"/>
                <w:szCs w:val="22"/>
              </w:rPr>
              <w:t xml:space="preserve">Action Grid from Meeting </w:t>
            </w:r>
            <w:r w:rsidR="00534008">
              <w:rPr>
                <w:rFonts w:ascii="Arial" w:hAnsi="Arial" w:cs="Arial"/>
                <w:sz w:val="22"/>
                <w:szCs w:val="22"/>
              </w:rPr>
              <w:t>2</w:t>
            </w:r>
            <w:r w:rsidR="00AD5131">
              <w:rPr>
                <w:rFonts w:ascii="Arial" w:hAnsi="Arial" w:cs="Arial"/>
                <w:sz w:val="22"/>
                <w:szCs w:val="22"/>
              </w:rPr>
              <w:t>1</w:t>
            </w:r>
          </w:p>
        </w:tc>
        <w:tc>
          <w:tcPr>
            <w:tcW w:w="7697" w:type="dxa"/>
            <w:shd w:val="clear" w:color="auto" w:fill="auto"/>
            <w:tcMar>
              <w:top w:w="57" w:type="dxa"/>
              <w:bottom w:w="57" w:type="dxa"/>
            </w:tcMar>
          </w:tcPr>
          <w:p w:rsidR="00691646" w:rsidRDefault="0006323E" w:rsidP="00691646">
            <w:pPr>
              <w:rPr>
                <w:rFonts w:ascii="Arial" w:hAnsi="Arial" w:cs="Arial"/>
                <w:sz w:val="22"/>
                <w:szCs w:val="22"/>
              </w:rPr>
            </w:pPr>
            <w:r>
              <w:rPr>
                <w:rFonts w:ascii="Arial" w:hAnsi="Arial" w:cs="Arial"/>
                <w:sz w:val="22"/>
                <w:szCs w:val="22"/>
              </w:rPr>
              <w:t>There were no issues of accuracy raised with the Action Grid</w:t>
            </w:r>
            <w:r w:rsidR="00691646">
              <w:rPr>
                <w:rFonts w:ascii="Arial" w:hAnsi="Arial" w:cs="Arial"/>
                <w:sz w:val="22"/>
                <w:szCs w:val="22"/>
              </w:rPr>
              <w:t xml:space="preserve"> from meeting 21.</w:t>
            </w:r>
          </w:p>
          <w:p w:rsidR="00691646" w:rsidRDefault="00691646" w:rsidP="00691646">
            <w:pPr>
              <w:rPr>
                <w:rFonts w:ascii="Arial" w:hAnsi="Arial" w:cs="Arial"/>
                <w:sz w:val="22"/>
                <w:szCs w:val="22"/>
              </w:rPr>
            </w:pPr>
          </w:p>
          <w:p w:rsidR="00691646" w:rsidRDefault="00691646" w:rsidP="00691646">
            <w:pPr>
              <w:rPr>
                <w:rFonts w:ascii="Arial" w:hAnsi="Arial" w:cs="Arial"/>
                <w:sz w:val="22"/>
                <w:szCs w:val="22"/>
              </w:rPr>
            </w:pPr>
            <w:r>
              <w:rPr>
                <w:rFonts w:ascii="Arial" w:hAnsi="Arial" w:cs="Arial"/>
                <w:sz w:val="22"/>
                <w:szCs w:val="22"/>
              </w:rPr>
              <w:t>Action points were discussed as follows:</w:t>
            </w:r>
          </w:p>
          <w:p w:rsidR="00691646" w:rsidRDefault="00691646" w:rsidP="00691646">
            <w:pPr>
              <w:rPr>
                <w:rFonts w:ascii="Arial" w:hAnsi="Arial" w:cs="Arial"/>
                <w:sz w:val="22"/>
                <w:szCs w:val="22"/>
              </w:rPr>
            </w:pPr>
          </w:p>
          <w:p w:rsidR="00AD5131" w:rsidRDefault="00691646" w:rsidP="00691646">
            <w:pPr>
              <w:rPr>
                <w:rFonts w:ascii="Arial" w:hAnsi="Arial" w:cs="Arial"/>
                <w:sz w:val="22"/>
                <w:szCs w:val="22"/>
              </w:rPr>
            </w:pPr>
            <w:r>
              <w:rPr>
                <w:rFonts w:ascii="Arial" w:hAnsi="Arial" w:cs="Arial"/>
                <w:sz w:val="22"/>
                <w:szCs w:val="22"/>
              </w:rPr>
              <w:t xml:space="preserve">SOLAR  </w:t>
            </w:r>
          </w:p>
          <w:p w:rsidR="00AD5131" w:rsidRDefault="00AD5131" w:rsidP="00691646">
            <w:pPr>
              <w:rPr>
                <w:rFonts w:ascii="Arial" w:hAnsi="Arial" w:cs="Arial"/>
                <w:sz w:val="22"/>
                <w:szCs w:val="22"/>
              </w:rPr>
            </w:pPr>
          </w:p>
          <w:p w:rsidR="00AD5131" w:rsidRDefault="00691646" w:rsidP="00691646">
            <w:pPr>
              <w:rPr>
                <w:rFonts w:ascii="Arial" w:hAnsi="Arial" w:cs="Arial"/>
                <w:sz w:val="22"/>
                <w:szCs w:val="22"/>
              </w:rPr>
            </w:pPr>
            <w:r>
              <w:rPr>
                <w:rFonts w:ascii="Arial" w:hAnsi="Arial" w:cs="Arial"/>
                <w:sz w:val="22"/>
                <w:szCs w:val="22"/>
              </w:rPr>
              <w:t xml:space="preserve">HN Administration and IT </w:t>
            </w:r>
          </w:p>
          <w:p w:rsidR="00AD5131" w:rsidRDefault="00AD5131" w:rsidP="00691646">
            <w:pPr>
              <w:rPr>
                <w:rFonts w:ascii="Arial" w:hAnsi="Arial" w:cs="Arial"/>
                <w:sz w:val="22"/>
                <w:szCs w:val="22"/>
              </w:rPr>
            </w:pPr>
          </w:p>
          <w:p w:rsidR="00691646" w:rsidRDefault="00691646" w:rsidP="00691646">
            <w:pPr>
              <w:rPr>
                <w:rFonts w:ascii="Arial" w:hAnsi="Arial" w:cs="Arial"/>
                <w:sz w:val="22"/>
                <w:szCs w:val="22"/>
              </w:rPr>
            </w:pPr>
            <w:r>
              <w:rPr>
                <w:rFonts w:ascii="Arial" w:hAnsi="Arial" w:cs="Arial"/>
                <w:sz w:val="22"/>
                <w:szCs w:val="22"/>
              </w:rPr>
              <w:t xml:space="preserve">Graded Unit 1 dynamically generated Paper 1 assessment has been delayed due to difficulties producing a SOLAR assessment that conforms </w:t>
            </w:r>
            <w:proofErr w:type="gramStart"/>
            <w:r>
              <w:rPr>
                <w:rFonts w:ascii="Arial" w:hAnsi="Arial" w:cs="Arial"/>
                <w:sz w:val="22"/>
                <w:szCs w:val="22"/>
              </w:rPr>
              <w:t>with</w:t>
            </w:r>
            <w:proofErr w:type="gramEnd"/>
            <w:r>
              <w:rPr>
                <w:rFonts w:ascii="Arial" w:hAnsi="Arial" w:cs="Arial"/>
                <w:sz w:val="22"/>
                <w:szCs w:val="22"/>
              </w:rPr>
              <w:t xml:space="preserve"> the design rules</w:t>
            </w:r>
            <w:r w:rsidR="00B30BB3">
              <w:rPr>
                <w:rFonts w:ascii="Arial" w:hAnsi="Arial" w:cs="Arial"/>
                <w:sz w:val="22"/>
                <w:szCs w:val="22"/>
              </w:rPr>
              <w:t xml:space="preserve"> required by the unit specification</w:t>
            </w:r>
            <w:r>
              <w:rPr>
                <w:rFonts w:ascii="Arial" w:hAnsi="Arial" w:cs="Arial"/>
                <w:sz w:val="22"/>
                <w:szCs w:val="22"/>
              </w:rPr>
              <w:t xml:space="preserve">. SOLAR team are unable to provide a firm date </w:t>
            </w:r>
            <w:r w:rsidR="00B30BB3">
              <w:rPr>
                <w:rFonts w:ascii="Arial" w:hAnsi="Arial" w:cs="Arial"/>
                <w:sz w:val="22"/>
                <w:szCs w:val="22"/>
              </w:rPr>
              <w:t>for this to be available.</w:t>
            </w:r>
          </w:p>
          <w:p w:rsidR="00B30BB3" w:rsidRDefault="00B30BB3" w:rsidP="00691646">
            <w:pPr>
              <w:rPr>
                <w:rFonts w:ascii="Arial" w:hAnsi="Arial" w:cs="Arial"/>
                <w:sz w:val="22"/>
                <w:szCs w:val="22"/>
              </w:rPr>
            </w:pPr>
          </w:p>
          <w:p w:rsidR="00B30BB3" w:rsidRDefault="00B30BB3" w:rsidP="00691646">
            <w:pPr>
              <w:rPr>
                <w:rFonts w:ascii="Arial" w:hAnsi="Arial" w:cs="Arial"/>
                <w:sz w:val="22"/>
                <w:szCs w:val="22"/>
              </w:rPr>
            </w:pPr>
            <w:r>
              <w:rPr>
                <w:rFonts w:ascii="Arial" w:hAnsi="Arial" w:cs="Arial"/>
                <w:sz w:val="22"/>
                <w:szCs w:val="22"/>
              </w:rPr>
              <w:t xml:space="preserve">There are three Administration and IT Graded Unit 1 Paper 1 SOLAR assessments currently available. These are identical to the paper-based ASPs. </w:t>
            </w:r>
          </w:p>
          <w:p w:rsidR="00386430" w:rsidRDefault="00386430" w:rsidP="00691646">
            <w:pPr>
              <w:rPr>
                <w:rFonts w:ascii="Arial" w:hAnsi="Arial" w:cs="Arial"/>
                <w:sz w:val="22"/>
                <w:szCs w:val="22"/>
              </w:rPr>
            </w:pPr>
          </w:p>
          <w:p w:rsidR="00AD5131" w:rsidRDefault="00AD5131" w:rsidP="00691646">
            <w:pPr>
              <w:rPr>
                <w:rFonts w:ascii="Arial" w:hAnsi="Arial" w:cs="Arial"/>
                <w:sz w:val="22"/>
                <w:szCs w:val="22"/>
              </w:rPr>
            </w:pPr>
            <w:r>
              <w:rPr>
                <w:rFonts w:ascii="Arial" w:hAnsi="Arial" w:cs="Arial"/>
                <w:sz w:val="22"/>
                <w:szCs w:val="22"/>
              </w:rPr>
              <w:lastRenderedPageBreak/>
              <w:t>Accounting</w:t>
            </w:r>
          </w:p>
          <w:p w:rsidR="00AD5131" w:rsidRDefault="00AD5131" w:rsidP="00691646">
            <w:pPr>
              <w:rPr>
                <w:rFonts w:ascii="Arial" w:hAnsi="Arial" w:cs="Arial"/>
                <w:sz w:val="22"/>
                <w:szCs w:val="22"/>
              </w:rPr>
            </w:pPr>
          </w:p>
          <w:p w:rsidR="00AD5131" w:rsidRDefault="00AD5131" w:rsidP="00691646">
            <w:pPr>
              <w:rPr>
                <w:rFonts w:ascii="Arial" w:hAnsi="Arial" w:cs="Arial"/>
                <w:sz w:val="22"/>
                <w:szCs w:val="22"/>
              </w:rPr>
            </w:pPr>
            <w:r>
              <w:rPr>
                <w:rFonts w:ascii="Arial" w:hAnsi="Arial" w:cs="Arial"/>
                <w:sz w:val="22"/>
                <w:szCs w:val="22"/>
              </w:rPr>
              <w:t xml:space="preserve">A SOLAR assessment is being created from the ASP for Recording Financial Information. </w:t>
            </w:r>
            <w:r w:rsidR="00631010">
              <w:rPr>
                <w:rFonts w:ascii="Arial" w:hAnsi="Arial" w:cs="Arial"/>
                <w:sz w:val="22"/>
                <w:szCs w:val="22"/>
              </w:rPr>
              <w:t>Timelines are still to be confirmed.</w:t>
            </w:r>
          </w:p>
          <w:p w:rsidR="00AD5131" w:rsidRDefault="00AD5131" w:rsidP="00691646">
            <w:pPr>
              <w:rPr>
                <w:rFonts w:ascii="Arial" w:hAnsi="Arial" w:cs="Arial"/>
                <w:sz w:val="22"/>
                <w:szCs w:val="22"/>
              </w:rPr>
            </w:pPr>
          </w:p>
          <w:p w:rsidR="00AD5131" w:rsidRDefault="00AD5131" w:rsidP="00691646">
            <w:pPr>
              <w:rPr>
                <w:rFonts w:ascii="Arial" w:hAnsi="Arial" w:cs="Arial"/>
                <w:sz w:val="22"/>
                <w:szCs w:val="22"/>
              </w:rPr>
            </w:pPr>
            <w:r>
              <w:rPr>
                <w:rFonts w:ascii="Arial" w:hAnsi="Arial" w:cs="Arial"/>
                <w:b/>
                <w:sz w:val="22"/>
                <w:szCs w:val="22"/>
              </w:rPr>
              <w:t xml:space="preserve">Action: </w:t>
            </w:r>
            <w:r>
              <w:rPr>
                <w:rFonts w:ascii="Arial" w:hAnsi="Arial" w:cs="Arial"/>
                <w:sz w:val="22"/>
                <w:szCs w:val="22"/>
              </w:rPr>
              <w:t>Obtain update from SOLAR team for August Update Letter</w:t>
            </w:r>
          </w:p>
          <w:p w:rsidR="002C6324" w:rsidRDefault="002C6324" w:rsidP="00691646">
            <w:pPr>
              <w:rPr>
                <w:rFonts w:ascii="Arial" w:hAnsi="Arial" w:cs="Arial"/>
                <w:sz w:val="22"/>
                <w:szCs w:val="22"/>
              </w:rPr>
            </w:pPr>
          </w:p>
          <w:p w:rsidR="002C6324" w:rsidRDefault="00386430" w:rsidP="00691646">
            <w:pPr>
              <w:rPr>
                <w:rFonts w:ascii="Arial" w:hAnsi="Arial" w:cs="Arial"/>
                <w:sz w:val="22"/>
                <w:szCs w:val="22"/>
              </w:rPr>
            </w:pPr>
            <w:r>
              <w:rPr>
                <w:rFonts w:ascii="Arial" w:hAnsi="Arial" w:cs="Arial"/>
                <w:sz w:val="22"/>
                <w:szCs w:val="22"/>
              </w:rPr>
              <w:t>Feedback was submitted along with apologies from one QRT member</w:t>
            </w:r>
            <w:r w:rsidR="007D03AC">
              <w:rPr>
                <w:rFonts w:ascii="Arial" w:hAnsi="Arial" w:cs="Arial"/>
                <w:sz w:val="22"/>
                <w:szCs w:val="22"/>
              </w:rPr>
              <w:t xml:space="preserve"> regarding the HN Enhancements project for discussion. The feedback in respect of Economic Issues: An Introduction and the combined Business: Graded Unit 2 and Research Skills assessments</w:t>
            </w:r>
            <w:r w:rsidR="00782D96">
              <w:rPr>
                <w:rFonts w:ascii="Arial" w:hAnsi="Arial" w:cs="Arial"/>
                <w:sz w:val="22"/>
                <w:szCs w:val="22"/>
              </w:rPr>
              <w:t>,</w:t>
            </w:r>
            <w:r w:rsidR="007D03AC">
              <w:rPr>
                <w:rFonts w:ascii="Arial" w:hAnsi="Arial" w:cs="Arial"/>
                <w:sz w:val="22"/>
                <w:szCs w:val="22"/>
              </w:rPr>
              <w:t xml:space="preserve"> </w:t>
            </w:r>
            <w:r w:rsidR="00782D96">
              <w:rPr>
                <w:rFonts w:ascii="Arial" w:hAnsi="Arial" w:cs="Arial"/>
                <w:sz w:val="22"/>
                <w:szCs w:val="22"/>
              </w:rPr>
              <w:t>was</w:t>
            </w:r>
            <w:r w:rsidR="007D03AC">
              <w:rPr>
                <w:rFonts w:ascii="Arial" w:hAnsi="Arial" w:cs="Arial"/>
                <w:sz w:val="22"/>
                <w:szCs w:val="22"/>
              </w:rPr>
              <w:t xml:space="preserve"> positive.</w:t>
            </w:r>
          </w:p>
          <w:p w:rsidR="007D03AC" w:rsidRDefault="007D03AC" w:rsidP="00691646">
            <w:pPr>
              <w:rPr>
                <w:rFonts w:ascii="Arial" w:hAnsi="Arial" w:cs="Arial"/>
                <w:sz w:val="22"/>
                <w:szCs w:val="22"/>
              </w:rPr>
            </w:pPr>
          </w:p>
          <w:p w:rsidR="007D03AC" w:rsidRPr="00AD5131" w:rsidRDefault="003F4F49" w:rsidP="00691646">
            <w:pPr>
              <w:rPr>
                <w:rFonts w:ascii="Arial" w:hAnsi="Arial" w:cs="Arial"/>
                <w:sz w:val="22"/>
                <w:szCs w:val="22"/>
              </w:rPr>
            </w:pPr>
            <w:r>
              <w:rPr>
                <w:rFonts w:ascii="Arial" w:hAnsi="Arial" w:cs="Arial"/>
                <w:sz w:val="22"/>
                <w:szCs w:val="22"/>
              </w:rPr>
              <w:t xml:space="preserve">Another member </w:t>
            </w:r>
            <w:r w:rsidR="007D03AC">
              <w:rPr>
                <w:rFonts w:ascii="Arial" w:hAnsi="Arial" w:cs="Arial"/>
                <w:sz w:val="22"/>
                <w:szCs w:val="22"/>
              </w:rPr>
              <w:t xml:space="preserve">supported this feedback, adding that there had been more fails within classes, but these were fair and not unexpected in the cases of candidates who did fail. The Enhancements approach also helped to </w:t>
            </w:r>
            <w:r w:rsidR="006E155A">
              <w:rPr>
                <w:rFonts w:ascii="Arial" w:hAnsi="Arial" w:cs="Arial"/>
                <w:sz w:val="22"/>
                <w:szCs w:val="22"/>
              </w:rPr>
              <w:t>demarcate the end of the assessment process in relation to re-assessment.</w:t>
            </w:r>
            <w:r w:rsidR="007D03AC">
              <w:rPr>
                <w:rFonts w:ascii="Arial" w:hAnsi="Arial" w:cs="Arial"/>
                <w:sz w:val="22"/>
                <w:szCs w:val="22"/>
              </w:rPr>
              <w:t xml:space="preserve"> </w:t>
            </w:r>
          </w:p>
          <w:p w:rsidR="00C963A6" w:rsidRPr="008D3253" w:rsidRDefault="00C963A6" w:rsidP="00C963A6">
            <w:pPr>
              <w:rPr>
                <w:rFonts w:ascii="Arial" w:hAnsi="Arial" w:cs="Arial"/>
                <w:sz w:val="22"/>
                <w:szCs w:val="22"/>
              </w:rPr>
            </w:pPr>
          </w:p>
        </w:tc>
        <w:tc>
          <w:tcPr>
            <w:tcW w:w="1778" w:type="dxa"/>
            <w:shd w:val="clear" w:color="auto" w:fill="auto"/>
            <w:tcMar>
              <w:top w:w="57" w:type="dxa"/>
              <w:bottom w:w="57" w:type="dxa"/>
            </w:tcMar>
          </w:tcPr>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386430" w:rsidRDefault="00386430">
            <w:pPr>
              <w:rPr>
                <w:rFonts w:ascii="Arial" w:hAnsi="Arial" w:cs="Arial"/>
                <w:sz w:val="22"/>
                <w:szCs w:val="22"/>
              </w:rPr>
            </w:pPr>
          </w:p>
          <w:p w:rsidR="00AD5131" w:rsidRPr="00192EB1" w:rsidRDefault="00386430" w:rsidP="00386430">
            <w:pPr>
              <w:rPr>
                <w:rFonts w:ascii="Arial" w:hAnsi="Arial" w:cs="Arial"/>
                <w:sz w:val="22"/>
                <w:szCs w:val="22"/>
              </w:rPr>
            </w:pPr>
            <w:r>
              <w:rPr>
                <w:rFonts w:ascii="Arial" w:hAnsi="Arial" w:cs="Arial"/>
                <w:sz w:val="22"/>
                <w:szCs w:val="22"/>
              </w:rPr>
              <w:t>AFQO</w:t>
            </w:r>
            <w:r w:rsidR="00AD5131">
              <w:rPr>
                <w:rFonts w:ascii="Arial" w:hAnsi="Arial" w:cs="Arial"/>
                <w:sz w:val="22"/>
                <w:szCs w:val="22"/>
              </w:rPr>
              <w:t>/</w:t>
            </w:r>
            <w:r>
              <w:rPr>
                <w:rFonts w:ascii="Arial" w:hAnsi="Arial" w:cs="Arial"/>
                <w:sz w:val="22"/>
                <w:szCs w:val="22"/>
              </w:rPr>
              <w:t>BAQO</w:t>
            </w:r>
          </w:p>
        </w:tc>
        <w:tc>
          <w:tcPr>
            <w:tcW w:w="2039" w:type="dxa"/>
            <w:shd w:val="clear" w:color="auto" w:fill="auto"/>
            <w:tcMar>
              <w:top w:w="57" w:type="dxa"/>
              <w:bottom w:w="57" w:type="dxa"/>
            </w:tcMar>
          </w:tcPr>
          <w:p w:rsidR="00F071C1" w:rsidRDefault="00F071C1">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AD5131" w:rsidRDefault="00AD5131">
            <w:pPr>
              <w:rPr>
                <w:rFonts w:ascii="Arial" w:hAnsi="Arial" w:cs="Arial"/>
                <w:sz w:val="22"/>
                <w:szCs w:val="22"/>
              </w:rPr>
            </w:pPr>
          </w:p>
          <w:p w:rsidR="00386430" w:rsidRDefault="00386430">
            <w:pPr>
              <w:rPr>
                <w:rFonts w:ascii="Arial" w:hAnsi="Arial" w:cs="Arial"/>
                <w:sz w:val="22"/>
                <w:szCs w:val="22"/>
              </w:rPr>
            </w:pPr>
          </w:p>
          <w:p w:rsidR="00C963A6" w:rsidRPr="00F071C1" w:rsidRDefault="00AD5131">
            <w:pPr>
              <w:rPr>
                <w:rFonts w:ascii="Arial" w:hAnsi="Arial" w:cs="Arial"/>
                <w:sz w:val="22"/>
                <w:szCs w:val="22"/>
              </w:rPr>
            </w:pPr>
            <w:r>
              <w:rPr>
                <w:rFonts w:ascii="Arial" w:hAnsi="Arial" w:cs="Arial"/>
                <w:sz w:val="22"/>
                <w:szCs w:val="22"/>
              </w:rPr>
              <w:t>July 2016</w:t>
            </w:r>
          </w:p>
        </w:tc>
      </w:tr>
      <w:tr w:rsidR="002A7B82" w:rsidRPr="00192EB1" w:rsidTr="00F068DF">
        <w:tc>
          <w:tcPr>
            <w:tcW w:w="826" w:type="dxa"/>
            <w:shd w:val="clear" w:color="auto" w:fill="auto"/>
            <w:tcMar>
              <w:top w:w="57" w:type="dxa"/>
              <w:bottom w:w="57" w:type="dxa"/>
            </w:tcMar>
          </w:tcPr>
          <w:p w:rsidR="002A7B82" w:rsidRPr="00192EB1" w:rsidRDefault="00BC3C3D" w:rsidP="00AD5131">
            <w:pPr>
              <w:rPr>
                <w:rFonts w:ascii="Arial" w:hAnsi="Arial" w:cs="Arial"/>
                <w:sz w:val="22"/>
                <w:szCs w:val="22"/>
              </w:rPr>
            </w:pPr>
            <w:r>
              <w:rPr>
                <w:rFonts w:ascii="Arial" w:hAnsi="Arial" w:cs="Arial"/>
                <w:sz w:val="22"/>
                <w:szCs w:val="22"/>
              </w:rPr>
              <w:lastRenderedPageBreak/>
              <w:t>2</w:t>
            </w:r>
            <w:r w:rsidR="00AD5131">
              <w:rPr>
                <w:rFonts w:ascii="Arial" w:hAnsi="Arial" w:cs="Arial"/>
                <w:sz w:val="22"/>
                <w:szCs w:val="22"/>
              </w:rPr>
              <w:t>2</w:t>
            </w:r>
            <w:r w:rsidR="008D3253">
              <w:rPr>
                <w:rFonts w:ascii="Arial" w:hAnsi="Arial" w:cs="Arial"/>
                <w:sz w:val="22"/>
                <w:szCs w:val="22"/>
              </w:rPr>
              <w:t>/3</w:t>
            </w:r>
          </w:p>
        </w:tc>
        <w:tc>
          <w:tcPr>
            <w:tcW w:w="1834" w:type="dxa"/>
            <w:shd w:val="clear" w:color="auto" w:fill="auto"/>
            <w:tcMar>
              <w:top w:w="57" w:type="dxa"/>
              <w:bottom w:w="57" w:type="dxa"/>
            </w:tcMar>
          </w:tcPr>
          <w:p w:rsidR="002A7B82" w:rsidRPr="00192EB1" w:rsidRDefault="00782D96">
            <w:pPr>
              <w:rPr>
                <w:rFonts w:ascii="Arial" w:hAnsi="Arial" w:cs="Arial"/>
                <w:sz w:val="22"/>
                <w:szCs w:val="22"/>
              </w:rPr>
            </w:pPr>
            <w:r>
              <w:rPr>
                <w:rFonts w:ascii="Arial" w:hAnsi="Arial" w:cs="Arial"/>
                <w:sz w:val="22"/>
                <w:szCs w:val="22"/>
              </w:rPr>
              <w:t>Network Event feedback</w:t>
            </w:r>
          </w:p>
        </w:tc>
        <w:tc>
          <w:tcPr>
            <w:tcW w:w="7697" w:type="dxa"/>
            <w:shd w:val="clear" w:color="auto" w:fill="auto"/>
            <w:tcMar>
              <w:top w:w="57" w:type="dxa"/>
              <w:bottom w:w="57" w:type="dxa"/>
            </w:tcMar>
          </w:tcPr>
          <w:p w:rsidR="00FE5E6A" w:rsidRDefault="00782D96" w:rsidP="00782D96">
            <w:pPr>
              <w:rPr>
                <w:rFonts w:ascii="Arial" w:hAnsi="Arial" w:cs="Arial"/>
                <w:sz w:val="22"/>
                <w:szCs w:val="22"/>
              </w:rPr>
            </w:pPr>
            <w:r>
              <w:rPr>
                <w:rFonts w:ascii="Arial" w:hAnsi="Arial" w:cs="Arial"/>
                <w:sz w:val="22"/>
                <w:szCs w:val="22"/>
              </w:rPr>
              <w:t>All three Network Events were positively received. Most of the feedback from delegates related to softer outputs which are hard to quantify but tangible, such as networking with peers and SQA.</w:t>
            </w:r>
          </w:p>
          <w:p w:rsidR="00782D96" w:rsidRDefault="00782D96" w:rsidP="00782D96">
            <w:pPr>
              <w:rPr>
                <w:rFonts w:ascii="Arial" w:hAnsi="Arial" w:cs="Arial"/>
                <w:sz w:val="22"/>
                <w:szCs w:val="22"/>
              </w:rPr>
            </w:pPr>
          </w:p>
          <w:p w:rsidR="00782D96" w:rsidRDefault="00782D96" w:rsidP="00F107DD">
            <w:pPr>
              <w:rPr>
                <w:rFonts w:ascii="Arial" w:hAnsi="Arial" w:cs="Arial"/>
                <w:sz w:val="22"/>
                <w:szCs w:val="22"/>
              </w:rPr>
            </w:pPr>
            <w:r>
              <w:rPr>
                <w:rFonts w:ascii="Arial" w:hAnsi="Arial" w:cs="Arial"/>
                <w:sz w:val="22"/>
                <w:szCs w:val="22"/>
              </w:rPr>
              <w:t>Ther</w:t>
            </w:r>
            <w:r w:rsidR="009168B0">
              <w:rPr>
                <w:rFonts w:ascii="Arial" w:hAnsi="Arial" w:cs="Arial"/>
                <w:sz w:val="22"/>
                <w:szCs w:val="22"/>
              </w:rPr>
              <w:t>e is an increasing drive by SQA</w:t>
            </w:r>
            <w:r>
              <w:rPr>
                <w:rFonts w:ascii="Arial" w:hAnsi="Arial" w:cs="Arial"/>
                <w:sz w:val="22"/>
                <w:szCs w:val="22"/>
              </w:rPr>
              <w:t xml:space="preserve"> and among the Education sector generally, to make wider use of technology. The suggestion of using Webinars rather than physical </w:t>
            </w:r>
            <w:r w:rsidR="00F107DD">
              <w:rPr>
                <w:rFonts w:ascii="Arial" w:hAnsi="Arial" w:cs="Arial"/>
                <w:sz w:val="22"/>
                <w:szCs w:val="22"/>
              </w:rPr>
              <w:t>Network E</w:t>
            </w:r>
            <w:r>
              <w:rPr>
                <w:rFonts w:ascii="Arial" w:hAnsi="Arial" w:cs="Arial"/>
                <w:sz w:val="22"/>
                <w:szCs w:val="22"/>
              </w:rPr>
              <w:t>vent</w:t>
            </w:r>
            <w:r w:rsidR="00F107DD">
              <w:rPr>
                <w:rFonts w:ascii="Arial" w:hAnsi="Arial" w:cs="Arial"/>
                <w:sz w:val="22"/>
                <w:szCs w:val="22"/>
              </w:rPr>
              <w:t>s</w:t>
            </w:r>
            <w:r>
              <w:rPr>
                <w:rFonts w:ascii="Arial" w:hAnsi="Arial" w:cs="Arial"/>
                <w:sz w:val="22"/>
                <w:szCs w:val="22"/>
              </w:rPr>
              <w:t xml:space="preserve"> has been promoted within SQA, however the continued feeling of the HN Business subjects Qualification team and the QST is that </w:t>
            </w:r>
            <w:r w:rsidR="00B238E3">
              <w:rPr>
                <w:rFonts w:ascii="Arial" w:hAnsi="Arial" w:cs="Arial"/>
                <w:sz w:val="22"/>
                <w:szCs w:val="22"/>
              </w:rPr>
              <w:t xml:space="preserve">the critical softer outputs referred to would be lost if this were to be </w:t>
            </w:r>
            <w:r w:rsidR="003F4F49">
              <w:rPr>
                <w:rFonts w:ascii="Arial" w:hAnsi="Arial" w:cs="Arial"/>
                <w:sz w:val="22"/>
                <w:szCs w:val="22"/>
              </w:rPr>
              <w:t>implemented</w:t>
            </w:r>
            <w:r w:rsidR="00F107DD">
              <w:rPr>
                <w:rFonts w:ascii="Arial" w:hAnsi="Arial" w:cs="Arial"/>
                <w:sz w:val="22"/>
                <w:szCs w:val="22"/>
              </w:rPr>
              <w:t>. Currently there are no plans to adopt the webinar model.</w:t>
            </w:r>
            <w:r w:rsidR="005F4C25">
              <w:rPr>
                <w:rFonts w:ascii="Arial" w:hAnsi="Arial" w:cs="Arial"/>
                <w:sz w:val="22"/>
                <w:szCs w:val="22"/>
              </w:rPr>
              <w:t xml:space="preserve"> There are more benefits to Network Events than simply dissemination of information.</w:t>
            </w:r>
          </w:p>
          <w:p w:rsidR="00F107DD" w:rsidRDefault="00F107DD" w:rsidP="00F107DD">
            <w:pPr>
              <w:rPr>
                <w:rFonts w:ascii="Arial" w:hAnsi="Arial" w:cs="Arial"/>
                <w:sz w:val="22"/>
                <w:szCs w:val="22"/>
              </w:rPr>
            </w:pPr>
          </w:p>
          <w:p w:rsidR="00F107DD" w:rsidRDefault="00F107DD" w:rsidP="00F107DD">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Ushare</w:t>
            </w:r>
            <w:proofErr w:type="spellEnd"/>
            <w:r>
              <w:rPr>
                <w:rFonts w:ascii="Arial" w:hAnsi="Arial" w:cs="Arial"/>
                <w:sz w:val="22"/>
                <w:szCs w:val="22"/>
              </w:rPr>
              <w:t xml:space="preserve"> facility was well received at all events. </w:t>
            </w:r>
            <w:r w:rsidR="00674C7C">
              <w:rPr>
                <w:rFonts w:ascii="Arial" w:hAnsi="Arial" w:cs="Arial"/>
                <w:sz w:val="22"/>
                <w:szCs w:val="22"/>
              </w:rPr>
              <w:t xml:space="preserve">QST members asked if there is an option to subscribe to updates. </w:t>
            </w:r>
            <w:r w:rsidR="003F4F49">
              <w:rPr>
                <w:rFonts w:ascii="Arial" w:hAnsi="Arial" w:cs="Arial"/>
                <w:sz w:val="22"/>
                <w:szCs w:val="22"/>
              </w:rPr>
              <w:t xml:space="preserve">BAQO </w:t>
            </w:r>
            <w:r w:rsidR="00674C7C">
              <w:rPr>
                <w:rFonts w:ascii="Arial" w:hAnsi="Arial" w:cs="Arial"/>
                <w:sz w:val="22"/>
                <w:szCs w:val="22"/>
              </w:rPr>
              <w:t xml:space="preserve">will follow this up with the </w:t>
            </w:r>
            <w:r w:rsidR="00674C7C">
              <w:rPr>
                <w:rFonts w:ascii="Arial" w:hAnsi="Arial" w:cs="Arial"/>
                <w:sz w:val="22"/>
                <w:szCs w:val="22"/>
              </w:rPr>
              <w:lastRenderedPageBreak/>
              <w:t>SQA Marketing team. Some information will be included in the August update letter as a reminder to centres.</w:t>
            </w:r>
          </w:p>
          <w:p w:rsidR="00674C7C" w:rsidRPr="008227B3" w:rsidRDefault="00674C7C" w:rsidP="00F107DD">
            <w:pPr>
              <w:rPr>
                <w:rFonts w:ascii="Arial" w:hAnsi="Arial" w:cs="Arial"/>
                <w:sz w:val="22"/>
                <w:szCs w:val="22"/>
              </w:rPr>
            </w:pPr>
          </w:p>
        </w:tc>
        <w:tc>
          <w:tcPr>
            <w:tcW w:w="1778" w:type="dxa"/>
            <w:shd w:val="clear" w:color="auto" w:fill="auto"/>
            <w:tcMar>
              <w:top w:w="57" w:type="dxa"/>
              <w:bottom w:w="57" w:type="dxa"/>
            </w:tcMar>
          </w:tcPr>
          <w:p w:rsidR="00E77594" w:rsidRDefault="00E77594"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Pr="00192EB1" w:rsidRDefault="003F4F49" w:rsidP="00CB7188">
            <w:pPr>
              <w:rPr>
                <w:rFonts w:ascii="Arial" w:hAnsi="Arial" w:cs="Arial"/>
                <w:sz w:val="22"/>
                <w:szCs w:val="22"/>
              </w:rPr>
            </w:pPr>
            <w:r>
              <w:rPr>
                <w:rFonts w:ascii="Arial" w:hAnsi="Arial" w:cs="Arial"/>
                <w:sz w:val="22"/>
                <w:szCs w:val="22"/>
              </w:rPr>
              <w:t>BAQO</w:t>
            </w:r>
          </w:p>
        </w:tc>
        <w:tc>
          <w:tcPr>
            <w:tcW w:w="2039" w:type="dxa"/>
            <w:shd w:val="clear" w:color="auto" w:fill="auto"/>
            <w:tcMar>
              <w:top w:w="57" w:type="dxa"/>
              <w:bottom w:w="57" w:type="dxa"/>
            </w:tcMar>
          </w:tcPr>
          <w:p w:rsidR="00A75C13" w:rsidRDefault="00A75C13" w:rsidP="00CB7188">
            <w:pPr>
              <w:rPr>
                <w:rFonts w:ascii="Arial" w:hAnsi="Arial" w:cs="Arial"/>
                <w:sz w:val="20"/>
                <w:szCs w:val="20"/>
              </w:rPr>
            </w:pPr>
          </w:p>
          <w:p w:rsidR="005D1970" w:rsidRDefault="005D1970" w:rsidP="00CB7188">
            <w:pPr>
              <w:rPr>
                <w:rFonts w:ascii="Arial" w:hAnsi="Arial" w:cs="Arial"/>
                <w:sz w:val="20"/>
                <w:szCs w:val="20"/>
              </w:rPr>
            </w:pPr>
          </w:p>
          <w:p w:rsidR="00D1316B" w:rsidRDefault="00D1316B"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Default="00674C7C" w:rsidP="00CB7188">
            <w:pPr>
              <w:rPr>
                <w:rFonts w:ascii="Arial" w:hAnsi="Arial" w:cs="Arial"/>
                <w:sz w:val="22"/>
                <w:szCs w:val="22"/>
              </w:rPr>
            </w:pPr>
          </w:p>
          <w:p w:rsidR="00674C7C" w:rsidRPr="005D1970" w:rsidRDefault="00674C7C" w:rsidP="00CB7188">
            <w:pPr>
              <w:rPr>
                <w:rFonts w:ascii="Arial" w:hAnsi="Arial" w:cs="Arial"/>
                <w:sz w:val="22"/>
                <w:szCs w:val="22"/>
              </w:rPr>
            </w:pPr>
            <w:r>
              <w:rPr>
                <w:rFonts w:ascii="Arial" w:hAnsi="Arial" w:cs="Arial"/>
                <w:sz w:val="22"/>
                <w:szCs w:val="22"/>
              </w:rPr>
              <w:t>August 2016</w:t>
            </w:r>
          </w:p>
        </w:tc>
      </w:tr>
      <w:tr w:rsidR="00F03472" w:rsidRPr="00192EB1" w:rsidTr="00F068DF">
        <w:tc>
          <w:tcPr>
            <w:tcW w:w="826" w:type="dxa"/>
            <w:shd w:val="clear" w:color="auto" w:fill="auto"/>
            <w:tcMar>
              <w:top w:w="57" w:type="dxa"/>
              <w:bottom w:w="57" w:type="dxa"/>
            </w:tcMar>
          </w:tcPr>
          <w:p w:rsidR="00F03472" w:rsidRDefault="00E43AFA" w:rsidP="006B4F7D">
            <w:pPr>
              <w:rPr>
                <w:rFonts w:ascii="Arial" w:hAnsi="Arial" w:cs="Arial"/>
                <w:sz w:val="22"/>
                <w:szCs w:val="22"/>
              </w:rPr>
            </w:pPr>
            <w:r>
              <w:rPr>
                <w:rFonts w:ascii="Arial" w:hAnsi="Arial" w:cs="Arial"/>
                <w:sz w:val="22"/>
                <w:szCs w:val="22"/>
              </w:rPr>
              <w:lastRenderedPageBreak/>
              <w:t>2</w:t>
            </w:r>
            <w:r w:rsidR="006B4F7D">
              <w:rPr>
                <w:rFonts w:ascii="Arial" w:hAnsi="Arial" w:cs="Arial"/>
                <w:sz w:val="22"/>
                <w:szCs w:val="22"/>
              </w:rPr>
              <w:t>2</w:t>
            </w:r>
            <w:r w:rsidR="00F03472">
              <w:rPr>
                <w:rFonts w:ascii="Arial" w:hAnsi="Arial" w:cs="Arial"/>
                <w:sz w:val="22"/>
                <w:szCs w:val="22"/>
              </w:rPr>
              <w:t>/4</w:t>
            </w:r>
          </w:p>
        </w:tc>
        <w:tc>
          <w:tcPr>
            <w:tcW w:w="1834" w:type="dxa"/>
            <w:shd w:val="clear" w:color="auto" w:fill="auto"/>
            <w:tcMar>
              <w:top w:w="57" w:type="dxa"/>
              <w:bottom w:w="57" w:type="dxa"/>
            </w:tcMar>
          </w:tcPr>
          <w:p w:rsidR="00F03472" w:rsidRDefault="00D1316B" w:rsidP="006B4F7D">
            <w:pPr>
              <w:rPr>
                <w:rFonts w:ascii="Arial" w:hAnsi="Arial" w:cs="Arial"/>
                <w:sz w:val="22"/>
                <w:szCs w:val="22"/>
              </w:rPr>
            </w:pPr>
            <w:r>
              <w:rPr>
                <w:rFonts w:ascii="Arial" w:hAnsi="Arial" w:cs="Arial"/>
                <w:sz w:val="22"/>
                <w:szCs w:val="22"/>
              </w:rPr>
              <w:t xml:space="preserve">HN </w:t>
            </w:r>
            <w:r w:rsidR="006B4F7D">
              <w:rPr>
                <w:rFonts w:ascii="Arial" w:hAnsi="Arial" w:cs="Arial"/>
                <w:sz w:val="22"/>
                <w:szCs w:val="22"/>
              </w:rPr>
              <w:t>Surveys</w:t>
            </w:r>
          </w:p>
        </w:tc>
        <w:tc>
          <w:tcPr>
            <w:tcW w:w="7697" w:type="dxa"/>
            <w:shd w:val="clear" w:color="auto" w:fill="auto"/>
            <w:tcMar>
              <w:top w:w="57" w:type="dxa"/>
              <w:bottom w:w="57" w:type="dxa"/>
            </w:tcMar>
          </w:tcPr>
          <w:p w:rsidR="006B4F7D" w:rsidRDefault="006B4F7D" w:rsidP="00564F07">
            <w:pPr>
              <w:pStyle w:val="bullet"/>
              <w:numPr>
                <w:ilvl w:val="0"/>
                <w:numId w:val="0"/>
              </w:numPr>
              <w:jc w:val="left"/>
              <w:rPr>
                <w:color w:val="000000"/>
              </w:rPr>
            </w:pPr>
            <w:r>
              <w:rPr>
                <w:color w:val="000000"/>
              </w:rPr>
              <w:t>At the time of the meeting (1</w:t>
            </w:r>
            <w:r w:rsidRPr="006B4F7D">
              <w:rPr>
                <w:color w:val="000000"/>
                <w:vertAlign w:val="superscript"/>
              </w:rPr>
              <w:t>st</w:t>
            </w:r>
            <w:r>
              <w:rPr>
                <w:color w:val="000000"/>
              </w:rPr>
              <w:t xml:space="preserve"> June) the surveys were still live. Response rates as of that date were:</w:t>
            </w:r>
          </w:p>
          <w:p w:rsidR="006B4F7D" w:rsidRDefault="006B4F7D" w:rsidP="00564F07">
            <w:pPr>
              <w:pStyle w:val="bullet"/>
              <w:numPr>
                <w:ilvl w:val="0"/>
                <w:numId w:val="0"/>
              </w:numPr>
              <w:jc w:val="left"/>
              <w:rPr>
                <w:color w:val="000000"/>
              </w:rPr>
            </w:pPr>
            <w:r>
              <w:rPr>
                <w:color w:val="000000"/>
              </w:rPr>
              <w:t xml:space="preserve">Accounting </w:t>
            </w:r>
            <w:r w:rsidR="00DE0C35">
              <w:rPr>
                <w:color w:val="000000"/>
              </w:rPr>
              <w:t xml:space="preserve"> </w:t>
            </w:r>
            <w:r>
              <w:rPr>
                <w:color w:val="000000"/>
              </w:rPr>
              <w:t>74 candidates 17 centres</w:t>
            </w:r>
          </w:p>
          <w:p w:rsidR="006B4F7D" w:rsidRDefault="006B4F7D" w:rsidP="00564F07">
            <w:pPr>
              <w:pStyle w:val="bullet"/>
              <w:numPr>
                <w:ilvl w:val="0"/>
                <w:numId w:val="0"/>
              </w:numPr>
              <w:jc w:val="left"/>
              <w:rPr>
                <w:color w:val="000000"/>
              </w:rPr>
            </w:pPr>
            <w:r>
              <w:rPr>
                <w:color w:val="000000"/>
              </w:rPr>
              <w:t>Administration and IT 50 candidates 18 centres</w:t>
            </w:r>
          </w:p>
          <w:p w:rsidR="006B4F7D" w:rsidRDefault="006B4F7D" w:rsidP="00564F07">
            <w:pPr>
              <w:pStyle w:val="bullet"/>
              <w:numPr>
                <w:ilvl w:val="0"/>
                <w:numId w:val="0"/>
              </w:numPr>
              <w:jc w:val="left"/>
              <w:rPr>
                <w:color w:val="000000"/>
              </w:rPr>
            </w:pPr>
            <w:r>
              <w:rPr>
                <w:color w:val="000000"/>
              </w:rPr>
              <w:t>Business 21 candidates 26 centres</w:t>
            </w:r>
          </w:p>
          <w:p w:rsidR="006B4F7D" w:rsidRDefault="006B4F7D" w:rsidP="00564F07">
            <w:pPr>
              <w:pStyle w:val="bullet"/>
              <w:numPr>
                <w:ilvl w:val="0"/>
                <w:numId w:val="0"/>
              </w:numPr>
              <w:jc w:val="left"/>
              <w:rPr>
                <w:color w:val="000000"/>
              </w:rPr>
            </w:pPr>
            <w:r>
              <w:rPr>
                <w:color w:val="000000"/>
              </w:rPr>
              <w:t>Analysis will be available for the next QST meeting</w:t>
            </w:r>
          </w:p>
          <w:p w:rsidR="006B4F7D" w:rsidRPr="006B4F7D" w:rsidRDefault="006B4F7D" w:rsidP="00564F07">
            <w:pPr>
              <w:pStyle w:val="bullet"/>
              <w:numPr>
                <w:ilvl w:val="0"/>
                <w:numId w:val="0"/>
              </w:numPr>
              <w:jc w:val="left"/>
              <w:rPr>
                <w:color w:val="000000"/>
              </w:rPr>
            </w:pPr>
            <w:r>
              <w:rPr>
                <w:b/>
                <w:color w:val="000000"/>
              </w:rPr>
              <w:t xml:space="preserve">Action: </w:t>
            </w:r>
            <w:r>
              <w:rPr>
                <w:color w:val="000000"/>
              </w:rPr>
              <w:t>Identify centres who have not responded if possible.</w:t>
            </w:r>
          </w:p>
        </w:tc>
        <w:tc>
          <w:tcPr>
            <w:tcW w:w="1778" w:type="dxa"/>
            <w:shd w:val="clear" w:color="auto" w:fill="auto"/>
            <w:tcMar>
              <w:top w:w="57" w:type="dxa"/>
              <w:bottom w:w="57" w:type="dxa"/>
            </w:tcMar>
          </w:tcPr>
          <w:p w:rsidR="00F03472" w:rsidRDefault="00F03472" w:rsidP="00800DF8">
            <w:pPr>
              <w:rPr>
                <w:rFonts w:ascii="Arial" w:hAnsi="Arial" w:cs="Arial"/>
                <w:sz w:val="22"/>
                <w:szCs w:val="22"/>
              </w:rPr>
            </w:pPr>
          </w:p>
          <w:p w:rsidR="00CE4D59" w:rsidRDefault="00CE4D59"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Default="006B4F7D" w:rsidP="008B4B9F">
            <w:pPr>
              <w:rPr>
                <w:rFonts w:ascii="Arial" w:hAnsi="Arial" w:cs="Arial"/>
                <w:sz w:val="22"/>
                <w:szCs w:val="22"/>
              </w:rPr>
            </w:pPr>
          </w:p>
          <w:p w:rsidR="006B4F7D" w:rsidRPr="00192EB1" w:rsidRDefault="003F4F49" w:rsidP="003F4F49">
            <w:pPr>
              <w:rPr>
                <w:rFonts w:ascii="Arial" w:hAnsi="Arial" w:cs="Arial"/>
                <w:sz w:val="22"/>
                <w:szCs w:val="22"/>
              </w:rPr>
            </w:pPr>
            <w:r>
              <w:rPr>
                <w:rFonts w:ascii="Arial" w:hAnsi="Arial" w:cs="Arial"/>
                <w:sz w:val="22"/>
                <w:szCs w:val="22"/>
              </w:rPr>
              <w:t>AFQO</w:t>
            </w:r>
            <w:r w:rsidR="006B4F7D">
              <w:rPr>
                <w:rFonts w:ascii="Arial" w:hAnsi="Arial" w:cs="Arial"/>
                <w:sz w:val="22"/>
                <w:szCs w:val="22"/>
              </w:rPr>
              <w:t>/</w:t>
            </w:r>
            <w:r>
              <w:rPr>
                <w:rFonts w:ascii="Arial" w:hAnsi="Arial" w:cs="Arial"/>
                <w:sz w:val="22"/>
                <w:szCs w:val="22"/>
              </w:rPr>
              <w:t>BAQO</w:t>
            </w:r>
          </w:p>
        </w:tc>
        <w:tc>
          <w:tcPr>
            <w:tcW w:w="2039" w:type="dxa"/>
            <w:shd w:val="clear" w:color="auto" w:fill="auto"/>
            <w:tcMar>
              <w:top w:w="57" w:type="dxa"/>
              <w:bottom w:w="57" w:type="dxa"/>
            </w:tcMar>
          </w:tcPr>
          <w:p w:rsidR="00F03472" w:rsidRDefault="00F03472"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B543B">
            <w:pPr>
              <w:rPr>
                <w:rFonts w:ascii="Arial" w:hAnsi="Arial" w:cs="Arial"/>
                <w:sz w:val="22"/>
                <w:szCs w:val="22"/>
              </w:rPr>
            </w:pPr>
          </w:p>
          <w:p w:rsidR="00CE4D59" w:rsidRDefault="00CE4D59" w:rsidP="00FA09AD">
            <w:pPr>
              <w:rPr>
                <w:rFonts w:ascii="Arial" w:hAnsi="Arial" w:cs="Arial"/>
                <w:sz w:val="22"/>
                <w:szCs w:val="22"/>
              </w:rPr>
            </w:pPr>
          </w:p>
          <w:p w:rsidR="006B4F7D" w:rsidRDefault="006B4F7D" w:rsidP="00FA09AD">
            <w:pPr>
              <w:rPr>
                <w:rFonts w:ascii="Arial" w:hAnsi="Arial" w:cs="Arial"/>
                <w:sz w:val="22"/>
                <w:szCs w:val="22"/>
              </w:rPr>
            </w:pPr>
          </w:p>
          <w:p w:rsidR="006B4F7D" w:rsidRDefault="006B4F7D" w:rsidP="00FA09AD">
            <w:pPr>
              <w:rPr>
                <w:rFonts w:ascii="Arial" w:hAnsi="Arial" w:cs="Arial"/>
                <w:sz w:val="22"/>
                <w:szCs w:val="22"/>
              </w:rPr>
            </w:pPr>
          </w:p>
          <w:p w:rsidR="006B4F7D" w:rsidRDefault="006B4F7D" w:rsidP="00FA09AD">
            <w:pPr>
              <w:rPr>
                <w:rFonts w:ascii="Arial" w:hAnsi="Arial" w:cs="Arial"/>
                <w:sz w:val="22"/>
                <w:szCs w:val="22"/>
              </w:rPr>
            </w:pPr>
          </w:p>
          <w:p w:rsidR="006B4F7D" w:rsidRDefault="006B4F7D" w:rsidP="00FA09AD">
            <w:pPr>
              <w:rPr>
                <w:rFonts w:ascii="Arial" w:hAnsi="Arial" w:cs="Arial"/>
                <w:sz w:val="22"/>
                <w:szCs w:val="22"/>
              </w:rPr>
            </w:pPr>
          </w:p>
          <w:p w:rsidR="006B4F7D" w:rsidRDefault="006B4F7D" w:rsidP="00FA09AD">
            <w:pPr>
              <w:rPr>
                <w:rFonts w:ascii="Arial" w:hAnsi="Arial" w:cs="Arial"/>
                <w:sz w:val="22"/>
                <w:szCs w:val="22"/>
              </w:rPr>
            </w:pPr>
            <w:r>
              <w:rPr>
                <w:rFonts w:ascii="Arial" w:hAnsi="Arial" w:cs="Arial"/>
                <w:sz w:val="22"/>
                <w:szCs w:val="22"/>
              </w:rPr>
              <w:t>June 2016</w:t>
            </w:r>
          </w:p>
        </w:tc>
      </w:tr>
      <w:tr w:rsidR="00EC7735" w:rsidRPr="00192EB1" w:rsidTr="00F068DF">
        <w:tc>
          <w:tcPr>
            <w:tcW w:w="826" w:type="dxa"/>
            <w:shd w:val="clear" w:color="auto" w:fill="auto"/>
            <w:tcMar>
              <w:top w:w="57" w:type="dxa"/>
              <w:bottom w:w="57" w:type="dxa"/>
            </w:tcMar>
          </w:tcPr>
          <w:p w:rsidR="00E72590" w:rsidRPr="00192EB1" w:rsidRDefault="00D1316B" w:rsidP="006B4F7D">
            <w:pPr>
              <w:rPr>
                <w:rFonts w:ascii="Arial" w:hAnsi="Arial" w:cs="Arial"/>
                <w:sz w:val="22"/>
                <w:szCs w:val="22"/>
              </w:rPr>
            </w:pPr>
            <w:r>
              <w:rPr>
                <w:rFonts w:ascii="Arial" w:hAnsi="Arial" w:cs="Arial"/>
                <w:sz w:val="22"/>
                <w:szCs w:val="22"/>
              </w:rPr>
              <w:t>2</w:t>
            </w:r>
            <w:r w:rsidR="006B4F7D">
              <w:rPr>
                <w:rFonts w:ascii="Arial" w:hAnsi="Arial" w:cs="Arial"/>
                <w:sz w:val="22"/>
                <w:szCs w:val="22"/>
              </w:rPr>
              <w:t>2</w:t>
            </w:r>
            <w:r w:rsidR="008D3253">
              <w:rPr>
                <w:rFonts w:ascii="Arial" w:hAnsi="Arial" w:cs="Arial"/>
                <w:sz w:val="22"/>
                <w:szCs w:val="22"/>
              </w:rPr>
              <w:t>/</w:t>
            </w:r>
            <w:r w:rsidR="00F03472">
              <w:rPr>
                <w:rFonts w:ascii="Arial" w:hAnsi="Arial" w:cs="Arial"/>
                <w:sz w:val="22"/>
                <w:szCs w:val="22"/>
              </w:rPr>
              <w:t>5</w:t>
            </w:r>
          </w:p>
        </w:tc>
        <w:tc>
          <w:tcPr>
            <w:tcW w:w="1834" w:type="dxa"/>
            <w:shd w:val="clear" w:color="auto" w:fill="auto"/>
            <w:tcMar>
              <w:top w:w="57" w:type="dxa"/>
              <w:bottom w:w="57" w:type="dxa"/>
            </w:tcMar>
          </w:tcPr>
          <w:p w:rsidR="00E72590" w:rsidRPr="00192EB1" w:rsidRDefault="006B4F7D" w:rsidP="001B46D3">
            <w:pPr>
              <w:rPr>
                <w:rFonts w:ascii="Arial" w:hAnsi="Arial" w:cs="Arial"/>
                <w:sz w:val="22"/>
                <w:szCs w:val="22"/>
              </w:rPr>
            </w:pPr>
            <w:r>
              <w:rPr>
                <w:rFonts w:ascii="Arial" w:hAnsi="Arial" w:cs="Arial"/>
                <w:sz w:val="22"/>
                <w:szCs w:val="22"/>
              </w:rPr>
              <w:t>Statistical Report 2015 (Uptake)</w:t>
            </w:r>
          </w:p>
        </w:tc>
        <w:tc>
          <w:tcPr>
            <w:tcW w:w="7697" w:type="dxa"/>
            <w:shd w:val="clear" w:color="auto" w:fill="auto"/>
            <w:tcMar>
              <w:top w:w="57" w:type="dxa"/>
              <w:bottom w:w="57" w:type="dxa"/>
            </w:tcMar>
          </w:tcPr>
          <w:p w:rsidR="00BE0077" w:rsidRDefault="006B4F7D" w:rsidP="006B4F7D">
            <w:pPr>
              <w:rPr>
                <w:rFonts w:ascii="Arial" w:hAnsi="Arial" w:cs="Arial"/>
                <w:sz w:val="22"/>
                <w:szCs w:val="22"/>
              </w:rPr>
            </w:pPr>
            <w:r>
              <w:rPr>
                <w:rFonts w:ascii="Arial" w:hAnsi="Arial" w:cs="Arial"/>
                <w:sz w:val="22"/>
                <w:szCs w:val="22"/>
              </w:rPr>
              <w:t>Accounting, AIT and Business all continue to feature in the top 10 SQA HNC/Ds by entry figures.</w:t>
            </w:r>
          </w:p>
          <w:p w:rsidR="006B4F7D" w:rsidRDefault="006B4F7D" w:rsidP="006B4F7D">
            <w:pPr>
              <w:rPr>
                <w:rFonts w:ascii="Arial" w:hAnsi="Arial" w:cs="Arial"/>
                <w:sz w:val="22"/>
                <w:szCs w:val="22"/>
              </w:rPr>
            </w:pPr>
          </w:p>
          <w:p w:rsidR="006B4F7D" w:rsidRDefault="006B4F7D" w:rsidP="006B4F7D">
            <w:pPr>
              <w:rPr>
                <w:rFonts w:ascii="Arial" w:hAnsi="Arial" w:cs="Arial"/>
                <w:sz w:val="22"/>
                <w:szCs w:val="22"/>
              </w:rPr>
            </w:pPr>
            <w:r>
              <w:rPr>
                <w:rFonts w:ascii="Arial" w:hAnsi="Arial" w:cs="Arial"/>
                <w:sz w:val="22"/>
                <w:szCs w:val="22"/>
              </w:rPr>
              <w:t>International provision supports this demand, particularly in the case of Business.</w:t>
            </w:r>
          </w:p>
          <w:p w:rsidR="006B4F7D" w:rsidRDefault="006B4F7D" w:rsidP="006B4F7D">
            <w:pPr>
              <w:rPr>
                <w:rFonts w:ascii="Arial" w:hAnsi="Arial" w:cs="Arial"/>
                <w:sz w:val="22"/>
                <w:szCs w:val="22"/>
              </w:rPr>
            </w:pPr>
          </w:p>
          <w:p w:rsidR="006B4F7D" w:rsidRPr="00FB543B" w:rsidRDefault="006B4F7D" w:rsidP="002E16F6">
            <w:pPr>
              <w:rPr>
                <w:rFonts w:ascii="Arial" w:hAnsi="Arial" w:cs="Arial"/>
                <w:sz w:val="22"/>
                <w:szCs w:val="22"/>
              </w:rPr>
            </w:pPr>
            <w:r>
              <w:rPr>
                <w:rFonts w:ascii="Arial" w:hAnsi="Arial" w:cs="Arial"/>
                <w:sz w:val="22"/>
                <w:szCs w:val="22"/>
              </w:rPr>
              <w:t xml:space="preserve">Uptake of HNC Administration and IT has reduced </w:t>
            </w:r>
            <w:r w:rsidR="002E16F6">
              <w:rPr>
                <w:rFonts w:ascii="Arial" w:hAnsi="Arial" w:cs="Arial"/>
                <w:sz w:val="22"/>
                <w:szCs w:val="22"/>
              </w:rPr>
              <w:t>significantly and there was discussion as to possible reasons. One example was given of a centre offering HNC Events Management, rather than AIT, and then articulating to their Business degree programme. The QST felt that Administration and IT provides a broader grounding in similar knowledge and skills which may serve candidates better for a wider range of vocational paths.</w:t>
            </w:r>
          </w:p>
        </w:tc>
        <w:tc>
          <w:tcPr>
            <w:tcW w:w="1778" w:type="dxa"/>
            <w:shd w:val="clear" w:color="auto" w:fill="auto"/>
            <w:tcMar>
              <w:top w:w="57" w:type="dxa"/>
              <w:bottom w:w="57" w:type="dxa"/>
            </w:tcMar>
          </w:tcPr>
          <w:p w:rsidR="00B1249D" w:rsidRDefault="00B1249D"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Pr="00192EB1" w:rsidRDefault="00704E48" w:rsidP="00800DF8">
            <w:pPr>
              <w:rPr>
                <w:rFonts w:ascii="Arial" w:hAnsi="Arial" w:cs="Arial"/>
                <w:sz w:val="22"/>
                <w:szCs w:val="22"/>
              </w:rPr>
            </w:pPr>
          </w:p>
        </w:tc>
        <w:tc>
          <w:tcPr>
            <w:tcW w:w="2039" w:type="dxa"/>
            <w:shd w:val="clear" w:color="auto" w:fill="auto"/>
            <w:tcMar>
              <w:top w:w="57" w:type="dxa"/>
              <w:bottom w:w="57" w:type="dxa"/>
            </w:tcMar>
          </w:tcPr>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Pr="00CE045D" w:rsidRDefault="00704E48" w:rsidP="00FA09AD">
            <w:pPr>
              <w:rPr>
                <w:rFonts w:ascii="Arial" w:hAnsi="Arial" w:cs="Arial"/>
                <w:sz w:val="22"/>
                <w:szCs w:val="22"/>
              </w:rPr>
            </w:pPr>
          </w:p>
        </w:tc>
      </w:tr>
      <w:tr w:rsidR="00EC7735" w:rsidRPr="00192EB1" w:rsidTr="00F068DF">
        <w:tc>
          <w:tcPr>
            <w:tcW w:w="826" w:type="dxa"/>
            <w:shd w:val="clear" w:color="auto" w:fill="auto"/>
            <w:tcMar>
              <w:top w:w="57" w:type="dxa"/>
              <w:bottom w:w="57" w:type="dxa"/>
            </w:tcMar>
          </w:tcPr>
          <w:p w:rsidR="00EC7735" w:rsidRPr="00192EB1" w:rsidRDefault="00FB543B" w:rsidP="002E16F6">
            <w:pPr>
              <w:rPr>
                <w:rFonts w:ascii="Arial" w:hAnsi="Arial" w:cs="Arial"/>
                <w:sz w:val="22"/>
                <w:szCs w:val="22"/>
              </w:rPr>
            </w:pPr>
            <w:r>
              <w:rPr>
                <w:rFonts w:ascii="Arial" w:hAnsi="Arial" w:cs="Arial"/>
                <w:sz w:val="22"/>
                <w:szCs w:val="22"/>
              </w:rPr>
              <w:t>2</w:t>
            </w:r>
            <w:r w:rsidR="002E16F6">
              <w:rPr>
                <w:rFonts w:ascii="Arial" w:hAnsi="Arial" w:cs="Arial"/>
                <w:sz w:val="22"/>
                <w:szCs w:val="22"/>
              </w:rPr>
              <w:t>2</w:t>
            </w:r>
            <w:r w:rsidR="00704975">
              <w:rPr>
                <w:rFonts w:ascii="Arial" w:hAnsi="Arial" w:cs="Arial"/>
                <w:sz w:val="22"/>
                <w:szCs w:val="22"/>
              </w:rPr>
              <w:t>/</w:t>
            </w:r>
            <w:r w:rsidR="003B4886">
              <w:rPr>
                <w:rFonts w:ascii="Arial" w:hAnsi="Arial" w:cs="Arial"/>
                <w:sz w:val="22"/>
                <w:szCs w:val="22"/>
              </w:rPr>
              <w:t>6</w:t>
            </w:r>
          </w:p>
        </w:tc>
        <w:tc>
          <w:tcPr>
            <w:tcW w:w="1834" w:type="dxa"/>
            <w:shd w:val="clear" w:color="auto" w:fill="auto"/>
            <w:tcMar>
              <w:top w:w="57" w:type="dxa"/>
              <w:bottom w:w="57" w:type="dxa"/>
            </w:tcMar>
          </w:tcPr>
          <w:p w:rsidR="00EC7735" w:rsidRPr="00192EB1" w:rsidRDefault="002E16F6" w:rsidP="002E16F6">
            <w:pPr>
              <w:rPr>
                <w:rFonts w:ascii="Arial" w:hAnsi="Arial" w:cs="Arial"/>
                <w:sz w:val="22"/>
                <w:szCs w:val="22"/>
              </w:rPr>
            </w:pPr>
            <w:r>
              <w:rPr>
                <w:rFonts w:ascii="Arial" w:hAnsi="Arial" w:cs="Arial"/>
                <w:sz w:val="22"/>
                <w:szCs w:val="22"/>
              </w:rPr>
              <w:t>HN</w:t>
            </w:r>
            <w:r w:rsidR="00E45C44">
              <w:rPr>
                <w:rFonts w:ascii="Arial" w:hAnsi="Arial" w:cs="Arial"/>
                <w:sz w:val="22"/>
                <w:szCs w:val="22"/>
              </w:rPr>
              <w:t xml:space="preserve"> </w:t>
            </w:r>
            <w:r>
              <w:rPr>
                <w:rFonts w:ascii="Arial" w:hAnsi="Arial" w:cs="Arial"/>
                <w:sz w:val="22"/>
                <w:szCs w:val="22"/>
              </w:rPr>
              <w:t xml:space="preserve">Administration and Information </w:t>
            </w:r>
            <w:r>
              <w:rPr>
                <w:rFonts w:ascii="Arial" w:hAnsi="Arial" w:cs="Arial"/>
                <w:sz w:val="22"/>
                <w:szCs w:val="22"/>
              </w:rPr>
              <w:lastRenderedPageBreak/>
              <w:t>Limited Review</w:t>
            </w:r>
          </w:p>
        </w:tc>
        <w:tc>
          <w:tcPr>
            <w:tcW w:w="7697" w:type="dxa"/>
            <w:shd w:val="clear" w:color="auto" w:fill="auto"/>
            <w:tcMar>
              <w:top w:w="57" w:type="dxa"/>
              <w:bottom w:w="57" w:type="dxa"/>
            </w:tcMar>
          </w:tcPr>
          <w:p w:rsidR="00EC418E" w:rsidRDefault="003F4F49" w:rsidP="00BE62C6">
            <w:pPr>
              <w:rPr>
                <w:rFonts w:ascii="Arial" w:hAnsi="Arial" w:cs="Arial"/>
                <w:sz w:val="22"/>
                <w:szCs w:val="22"/>
              </w:rPr>
            </w:pPr>
            <w:r>
              <w:rPr>
                <w:rFonts w:ascii="Arial" w:hAnsi="Arial" w:cs="Arial"/>
                <w:sz w:val="22"/>
                <w:szCs w:val="22"/>
              </w:rPr>
              <w:lastRenderedPageBreak/>
              <w:t>BAQO</w:t>
            </w:r>
            <w:r w:rsidR="00BE62C6">
              <w:rPr>
                <w:rFonts w:ascii="Arial" w:hAnsi="Arial" w:cs="Arial"/>
                <w:sz w:val="22"/>
                <w:szCs w:val="22"/>
              </w:rPr>
              <w:t xml:space="preserve"> gave an update on progress. The first Qualification review Team (QRT) meeting took place on 29 April where the outcomes of the extensive scoping exercise were analysed and discussed. Amendments to some units </w:t>
            </w:r>
            <w:r w:rsidR="00BE62C6">
              <w:rPr>
                <w:rFonts w:ascii="Arial" w:hAnsi="Arial" w:cs="Arial"/>
                <w:sz w:val="22"/>
                <w:szCs w:val="22"/>
              </w:rPr>
              <w:lastRenderedPageBreak/>
              <w:t>were agreed in this meeting and allocated to members of the QRT for action.</w:t>
            </w:r>
          </w:p>
          <w:p w:rsidR="00BE62C6" w:rsidRDefault="00BE62C6" w:rsidP="00BE62C6">
            <w:pPr>
              <w:rPr>
                <w:rFonts w:ascii="Arial" w:hAnsi="Arial" w:cs="Arial"/>
                <w:sz w:val="22"/>
                <w:szCs w:val="22"/>
              </w:rPr>
            </w:pPr>
          </w:p>
          <w:p w:rsidR="00BE62C6" w:rsidRDefault="00BE62C6" w:rsidP="00BE62C6">
            <w:pPr>
              <w:rPr>
                <w:rFonts w:ascii="Arial" w:hAnsi="Arial" w:cs="Arial"/>
                <w:sz w:val="22"/>
                <w:szCs w:val="22"/>
              </w:rPr>
            </w:pPr>
            <w:r>
              <w:rPr>
                <w:rFonts w:ascii="Arial" w:hAnsi="Arial" w:cs="Arial"/>
                <w:sz w:val="22"/>
                <w:szCs w:val="22"/>
              </w:rPr>
              <w:t>The headline changes are to the units Office Technologies and ITIB Spreadsheets which have attracted a significant volume of comments and feedback from centres.</w:t>
            </w:r>
          </w:p>
          <w:p w:rsidR="00BE62C6" w:rsidRDefault="00BE62C6" w:rsidP="00BE62C6">
            <w:pPr>
              <w:rPr>
                <w:rFonts w:ascii="Arial" w:hAnsi="Arial" w:cs="Arial"/>
                <w:sz w:val="22"/>
                <w:szCs w:val="22"/>
              </w:rPr>
            </w:pPr>
          </w:p>
          <w:p w:rsidR="00BE62C6" w:rsidRDefault="00BE62C6" w:rsidP="00BE62C6">
            <w:pPr>
              <w:rPr>
                <w:rFonts w:ascii="Arial" w:hAnsi="Arial" w:cs="Arial"/>
                <w:sz w:val="22"/>
                <w:szCs w:val="22"/>
              </w:rPr>
            </w:pPr>
            <w:r>
              <w:rPr>
                <w:rFonts w:ascii="Arial" w:hAnsi="Arial" w:cs="Arial"/>
                <w:sz w:val="22"/>
                <w:szCs w:val="22"/>
              </w:rPr>
              <w:t>Office Technologies is essentially being re-written from scratch to bring it up to date with current demands and amendments are being made to ITIB Spreadsheets to simplify and reduce assessment. ITIB Spreadsheets is also a mandatory Unit within HNC/D Business.</w:t>
            </w:r>
          </w:p>
          <w:p w:rsidR="00BE62C6" w:rsidRDefault="00BE62C6" w:rsidP="00BE62C6">
            <w:pPr>
              <w:rPr>
                <w:rFonts w:ascii="Arial" w:hAnsi="Arial" w:cs="Arial"/>
                <w:sz w:val="22"/>
                <w:szCs w:val="22"/>
              </w:rPr>
            </w:pPr>
          </w:p>
          <w:p w:rsidR="00AF0E1F" w:rsidRDefault="00BE62C6" w:rsidP="00BE62C6">
            <w:pPr>
              <w:rPr>
                <w:rFonts w:ascii="Arial" w:hAnsi="Arial" w:cs="Arial"/>
                <w:sz w:val="22"/>
                <w:szCs w:val="22"/>
              </w:rPr>
            </w:pPr>
            <w:r>
              <w:rPr>
                <w:rFonts w:ascii="Arial" w:hAnsi="Arial" w:cs="Arial"/>
                <w:sz w:val="22"/>
                <w:szCs w:val="22"/>
              </w:rPr>
              <w:t xml:space="preserve">Other </w:t>
            </w:r>
            <w:r w:rsidR="003E3983">
              <w:rPr>
                <w:rFonts w:ascii="Arial" w:hAnsi="Arial" w:cs="Arial"/>
                <w:sz w:val="22"/>
                <w:szCs w:val="22"/>
              </w:rPr>
              <w:t>headlines</w:t>
            </w:r>
            <w:r>
              <w:rPr>
                <w:rFonts w:ascii="Arial" w:hAnsi="Arial" w:cs="Arial"/>
                <w:sz w:val="22"/>
                <w:szCs w:val="22"/>
              </w:rPr>
              <w:t xml:space="preserve"> are </w:t>
            </w:r>
            <w:r w:rsidR="003E3983">
              <w:rPr>
                <w:rFonts w:ascii="Arial" w:hAnsi="Arial" w:cs="Arial"/>
                <w:sz w:val="22"/>
                <w:szCs w:val="22"/>
              </w:rPr>
              <w:t xml:space="preserve">feedback that assessment of </w:t>
            </w:r>
            <w:r>
              <w:rPr>
                <w:rFonts w:ascii="Arial" w:hAnsi="Arial" w:cs="Arial"/>
                <w:sz w:val="22"/>
                <w:szCs w:val="22"/>
              </w:rPr>
              <w:t xml:space="preserve">Recording Financial Transactions </w:t>
            </w:r>
            <w:r w:rsidR="003E3983">
              <w:rPr>
                <w:rFonts w:ascii="Arial" w:hAnsi="Arial" w:cs="Arial"/>
                <w:sz w:val="22"/>
                <w:szCs w:val="22"/>
              </w:rPr>
              <w:t>is onerous and that ICT in Business could be updated.</w:t>
            </w:r>
          </w:p>
          <w:p w:rsidR="003E3983" w:rsidRDefault="003E3983" w:rsidP="00BE62C6">
            <w:pPr>
              <w:rPr>
                <w:rFonts w:ascii="Arial" w:hAnsi="Arial" w:cs="Arial"/>
                <w:sz w:val="22"/>
                <w:szCs w:val="22"/>
              </w:rPr>
            </w:pPr>
          </w:p>
          <w:p w:rsidR="003E3983" w:rsidRDefault="003E3983" w:rsidP="00BE62C6">
            <w:pPr>
              <w:rPr>
                <w:rFonts w:ascii="Arial" w:hAnsi="Arial" w:cs="Arial"/>
                <w:sz w:val="22"/>
                <w:szCs w:val="22"/>
              </w:rPr>
            </w:pPr>
            <w:r>
              <w:rPr>
                <w:rFonts w:ascii="Arial" w:hAnsi="Arial" w:cs="Arial"/>
                <w:sz w:val="22"/>
                <w:szCs w:val="22"/>
              </w:rPr>
              <w:t xml:space="preserve">Changes will have an </w:t>
            </w:r>
            <w:r w:rsidR="001B224D">
              <w:rPr>
                <w:rFonts w:ascii="Arial" w:hAnsi="Arial" w:cs="Arial"/>
                <w:sz w:val="22"/>
                <w:szCs w:val="22"/>
              </w:rPr>
              <w:t>e</w:t>
            </w:r>
            <w:r>
              <w:rPr>
                <w:rFonts w:ascii="Arial" w:hAnsi="Arial" w:cs="Arial"/>
                <w:sz w:val="22"/>
                <w:szCs w:val="22"/>
              </w:rPr>
              <w:t>ffect on Graded Units</w:t>
            </w:r>
            <w:r w:rsidR="001B224D">
              <w:rPr>
                <w:rFonts w:ascii="Arial" w:hAnsi="Arial" w:cs="Arial"/>
                <w:sz w:val="22"/>
                <w:szCs w:val="22"/>
              </w:rPr>
              <w:t>.</w:t>
            </w:r>
          </w:p>
          <w:p w:rsidR="00BE62C6" w:rsidRPr="00B15131" w:rsidRDefault="00BE62C6" w:rsidP="00BE62C6">
            <w:pPr>
              <w:rPr>
                <w:rFonts w:ascii="Arial" w:hAnsi="Arial" w:cs="Arial"/>
                <w:sz w:val="22"/>
                <w:szCs w:val="22"/>
              </w:rPr>
            </w:pPr>
          </w:p>
        </w:tc>
        <w:tc>
          <w:tcPr>
            <w:tcW w:w="1778" w:type="dxa"/>
            <w:shd w:val="clear" w:color="auto" w:fill="auto"/>
            <w:tcMar>
              <w:top w:w="57" w:type="dxa"/>
              <w:bottom w:w="57" w:type="dxa"/>
            </w:tcMar>
          </w:tcPr>
          <w:p w:rsidR="00B73204" w:rsidRDefault="00B73204"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p>
        </w:tc>
        <w:tc>
          <w:tcPr>
            <w:tcW w:w="2039" w:type="dxa"/>
            <w:shd w:val="clear" w:color="auto" w:fill="auto"/>
            <w:tcMar>
              <w:top w:w="57" w:type="dxa"/>
              <w:bottom w:w="57" w:type="dxa"/>
            </w:tcMar>
          </w:tcPr>
          <w:p w:rsidR="00B73204" w:rsidRDefault="00B73204" w:rsidP="00FA09AD">
            <w:pPr>
              <w:rPr>
                <w:rFonts w:ascii="Arial" w:hAnsi="Arial" w:cs="Arial"/>
                <w:sz w:val="22"/>
                <w:szCs w:val="22"/>
              </w:rPr>
            </w:pPr>
          </w:p>
          <w:p w:rsidR="00B73204" w:rsidRDefault="00B73204"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p>
        </w:tc>
      </w:tr>
      <w:tr w:rsidR="00704975" w:rsidRPr="00192EB1" w:rsidTr="00F068DF">
        <w:tc>
          <w:tcPr>
            <w:tcW w:w="826" w:type="dxa"/>
            <w:shd w:val="clear" w:color="auto" w:fill="auto"/>
            <w:tcMar>
              <w:top w:w="57" w:type="dxa"/>
              <w:bottom w:w="57" w:type="dxa"/>
            </w:tcMar>
          </w:tcPr>
          <w:p w:rsidR="00704975" w:rsidRDefault="00FB6A94" w:rsidP="00540ECB">
            <w:pPr>
              <w:rPr>
                <w:rFonts w:ascii="Arial" w:hAnsi="Arial" w:cs="Arial"/>
                <w:sz w:val="22"/>
                <w:szCs w:val="22"/>
              </w:rPr>
            </w:pPr>
            <w:r>
              <w:rPr>
                <w:rFonts w:ascii="Arial" w:hAnsi="Arial" w:cs="Arial"/>
                <w:sz w:val="22"/>
                <w:szCs w:val="22"/>
              </w:rPr>
              <w:lastRenderedPageBreak/>
              <w:t>2</w:t>
            </w:r>
            <w:r w:rsidR="00540ECB">
              <w:rPr>
                <w:rFonts w:ascii="Arial" w:hAnsi="Arial" w:cs="Arial"/>
                <w:sz w:val="22"/>
                <w:szCs w:val="22"/>
              </w:rPr>
              <w:t>2</w:t>
            </w:r>
            <w:r w:rsidR="00704975">
              <w:rPr>
                <w:rFonts w:ascii="Arial" w:hAnsi="Arial" w:cs="Arial"/>
                <w:sz w:val="22"/>
                <w:szCs w:val="22"/>
              </w:rPr>
              <w:t>/</w:t>
            </w:r>
            <w:r w:rsidR="00193AF2">
              <w:rPr>
                <w:rFonts w:ascii="Arial" w:hAnsi="Arial" w:cs="Arial"/>
                <w:sz w:val="22"/>
                <w:szCs w:val="22"/>
              </w:rPr>
              <w:t>7</w:t>
            </w:r>
          </w:p>
        </w:tc>
        <w:tc>
          <w:tcPr>
            <w:tcW w:w="1834" w:type="dxa"/>
            <w:shd w:val="clear" w:color="auto" w:fill="auto"/>
            <w:tcMar>
              <w:top w:w="57" w:type="dxa"/>
              <w:bottom w:w="57" w:type="dxa"/>
            </w:tcMar>
          </w:tcPr>
          <w:p w:rsidR="00704975" w:rsidRPr="00192EB1" w:rsidRDefault="003E3983" w:rsidP="00FA09AD">
            <w:pPr>
              <w:rPr>
                <w:rFonts w:ascii="Arial" w:hAnsi="Arial" w:cs="Arial"/>
                <w:sz w:val="22"/>
                <w:szCs w:val="22"/>
              </w:rPr>
            </w:pPr>
            <w:r>
              <w:rPr>
                <w:rFonts w:ascii="Arial" w:hAnsi="Arial" w:cs="Arial"/>
                <w:sz w:val="22"/>
                <w:szCs w:val="22"/>
              </w:rPr>
              <w:t>HN Accounting – standards update</w:t>
            </w:r>
          </w:p>
        </w:tc>
        <w:tc>
          <w:tcPr>
            <w:tcW w:w="7697" w:type="dxa"/>
            <w:shd w:val="clear" w:color="auto" w:fill="auto"/>
            <w:tcMar>
              <w:top w:w="57" w:type="dxa"/>
              <w:bottom w:w="57" w:type="dxa"/>
            </w:tcMar>
          </w:tcPr>
          <w:p w:rsidR="003E3983" w:rsidRDefault="003F4F49" w:rsidP="00540ECB">
            <w:pPr>
              <w:rPr>
                <w:rFonts w:ascii="Arial" w:hAnsi="Arial" w:cs="Arial"/>
                <w:sz w:val="22"/>
                <w:szCs w:val="22"/>
              </w:rPr>
            </w:pPr>
            <w:r>
              <w:rPr>
                <w:rFonts w:ascii="Arial" w:hAnsi="Arial" w:cs="Arial"/>
                <w:sz w:val="22"/>
                <w:szCs w:val="22"/>
              </w:rPr>
              <w:t>AFQO</w:t>
            </w:r>
            <w:r w:rsidR="003E3983">
              <w:rPr>
                <w:rFonts w:ascii="Arial" w:hAnsi="Arial" w:cs="Arial"/>
                <w:sz w:val="22"/>
                <w:szCs w:val="22"/>
              </w:rPr>
              <w:t xml:space="preserve"> gave an update.</w:t>
            </w:r>
          </w:p>
          <w:p w:rsidR="003E3983" w:rsidRDefault="003E3983" w:rsidP="00540ECB">
            <w:pPr>
              <w:rPr>
                <w:rFonts w:ascii="Arial" w:hAnsi="Arial" w:cs="Arial"/>
                <w:sz w:val="22"/>
                <w:szCs w:val="22"/>
              </w:rPr>
            </w:pPr>
          </w:p>
          <w:p w:rsidR="00092A98" w:rsidRDefault="003E3983" w:rsidP="00540ECB">
            <w:pPr>
              <w:rPr>
                <w:rFonts w:ascii="Arial" w:hAnsi="Arial" w:cs="Arial"/>
                <w:sz w:val="22"/>
                <w:szCs w:val="22"/>
              </w:rPr>
            </w:pPr>
            <w:r>
              <w:rPr>
                <w:rFonts w:ascii="Arial" w:hAnsi="Arial" w:cs="Arial"/>
                <w:sz w:val="22"/>
                <w:szCs w:val="22"/>
              </w:rPr>
              <w:t>The year 2 Level 8 mandatory units have been revised. Unit specifications are available on HN Accounting webpage with a watermark that they are for delivery for session 2016/17, from August 2016. The units will be put on the HN unit search function over the summer break.</w:t>
            </w:r>
          </w:p>
          <w:p w:rsidR="003E3983" w:rsidRDefault="003E3983" w:rsidP="00540ECB">
            <w:pPr>
              <w:rPr>
                <w:rFonts w:ascii="Arial" w:hAnsi="Arial" w:cs="Arial"/>
                <w:sz w:val="22"/>
                <w:szCs w:val="22"/>
              </w:rPr>
            </w:pPr>
          </w:p>
          <w:p w:rsidR="003E3983" w:rsidRDefault="003E3983" w:rsidP="00540ECB">
            <w:pPr>
              <w:rPr>
                <w:rFonts w:ascii="Arial" w:hAnsi="Arial" w:cs="Arial"/>
                <w:sz w:val="22"/>
                <w:szCs w:val="22"/>
              </w:rPr>
            </w:pPr>
            <w:r>
              <w:rPr>
                <w:rFonts w:ascii="Arial" w:hAnsi="Arial" w:cs="Arial"/>
                <w:sz w:val="22"/>
                <w:szCs w:val="22"/>
              </w:rPr>
              <w:t>Two units – Financial Reporting and Analysis and, Accounting for Specialised Transactions have been re-coded as changes have been made to the statement of standards.</w:t>
            </w:r>
          </w:p>
          <w:p w:rsidR="003E3983" w:rsidRDefault="003E3983" w:rsidP="00540ECB">
            <w:pPr>
              <w:rPr>
                <w:rFonts w:ascii="Arial" w:hAnsi="Arial" w:cs="Arial"/>
                <w:sz w:val="22"/>
                <w:szCs w:val="22"/>
              </w:rPr>
            </w:pPr>
          </w:p>
          <w:p w:rsidR="00F068DF" w:rsidRDefault="003E3983" w:rsidP="00540ECB">
            <w:pPr>
              <w:rPr>
                <w:rFonts w:ascii="Arial" w:hAnsi="Arial" w:cs="Arial"/>
                <w:sz w:val="22"/>
                <w:szCs w:val="22"/>
              </w:rPr>
            </w:pPr>
            <w:r>
              <w:rPr>
                <w:rFonts w:ascii="Arial" w:hAnsi="Arial" w:cs="Arial"/>
                <w:sz w:val="22"/>
                <w:szCs w:val="22"/>
              </w:rPr>
              <w:t xml:space="preserve">Using Financial Accounting Software – no action at this stage as SAGE have not made any amendments </w:t>
            </w:r>
            <w:r w:rsidR="00F068DF">
              <w:rPr>
                <w:rFonts w:ascii="Arial" w:hAnsi="Arial" w:cs="Arial"/>
                <w:sz w:val="22"/>
                <w:szCs w:val="22"/>
              </w:rPr>
              <w:t>in line with FRS102.</w:t>
            </w:r>
          </w:p>
          <w:p w:rsidR="00F068DF" w:rsidRDefault="00F068DF" w:rsidP="00540ECB">
            <w:pPr>
              <w:rPr>
                <w:rFonts w:ascii="Arial" w:hAnsi="Arial" w:cs="Arial"/>
                <w:sz w:val="22"/>
                <w:szCs w:val="22"/>
              </w:rPr>
            </w:pPr>
          </w:p>
          <w:p w:rsidR="00F068DF" w:rsidRDefault="00F068DF" w:rsidP="00540ECB">
            <w:pPr>
              <w:rPr>
                <w:rFonts w:ascii="Arial" w:hAnsi="Arial" w:cs="Arial"/>
                <w:sz w:val="22"/>
                <w:szCs w:val="22"/>
              </w:rPr>
            </w:pPr>
            <w:r>
              <w:rPr>
                <w:rFonts w:ascii="Arial" w:hAnsi="Arial" w:cs="Arial"/>
                <w:sz w:val="22"/>
                <w:szCs w:val="22"/>
              </w:rPr>
              <w:t xml:space="preserve">Income Tax – a new ASP </w:t>
            </w:r>
            <w:r w:rsidR="001B224D">
              <w:rPr>
                <w:rFonts w:ascii="Arial" w:hAnsi="Arial" w:cs="Arial"/>
                <w:sz w:val="22"/>
                <w:szCs w:val="22"/>
              </w:rPr>
              <w:t xml:space="preserve">will </w:t>
            </w:r>
            <w:r>
              <w:rPr>
                <w:rFonts w:ascii="Arial" w:hAnsi="Arial" w:cs="Arial"/>
                <w:sz w:val="22"/>
                <w:szCs w:val="22"/>
              </w:rPr>
              <w:t xml:space="preserve">be written to </w:t>
            </w:r>
            <w:r w:rsidR="001B224D">
              <w:rPr>
                <w:rFonts w:ascii="Arial" w:hAnsi="Arial" w:cs="Arial"/>
                <w:sz w:val="22"/>
                <w:szCs w:val="22"/>
              </w:rPr>
              <w:t>address changes in personal allowances and the S</w:t>
            </w:r>
            <w:r w:rsidR="006E1C96">
              <w:rPr>
                <w:rFonts w:ascii="Arial" w:hAnsi="Arial" w:cs="Arial"/>
                <w:sz w:val="22"/>
                <w:szCs w:val="22"/>
              </w:rPr>
              <w:t>cottish Government fiscal powers (</w:t>
            </w:r>
            <w:proofErr w:type="spellStart"/>
            <w:r w:rsidR="006E1C96">
              <w:rPr>
                <w:rFonts w:ascii="Arial" w:hAnsi="Arial" w:cs="Arial"/>
                <w:sz w:val="22"/>
                <w:szCs w:val="22"/>
              </w:rPr>
              <w:t>eg</w:t>
            </w:r>
            <w:proofErr w:type="spellEnd"/>
            <w:r w:rsidR="006E1C96">
              <w:rPr>
                <w:rFonts w:ascii="Arial" w:hAnsi="Arial" w:cs="Arial"/>
                <w:sz w:val="22"/>
                <w:szCs w:val="22"/>
              </w:rPr>
              <w:t xml:space="preserve"> ‘S’ in front of tax </w:t>
            </w:r>
            <w:r w:rsidR="006E1C96">
              <w:rPr>
                <w:rFonts w:ascii="Arial" w:hAnsi="Arial" w:cs="Arial"/>
                <w:sz w:val="22"/>
                <w:szCs w:val="22"/>
              </w:rPr>
              <w:lastRenderedPageBreak/>
              <w:t>codes).</w:t>
            </w:r>
          </w:p>
          <w:p w:rsidR="003F4F49" w:rsidRDefault="003F4F49" w:rsidP="00540ECB">
            <w:pPr>
              <w:rPr>
                <w:rFonts w:ascii="Arial" w:hAnsi="Arial" w:cs="Arial"/>
                <w:sz w:val="22"/>
                <w:szCs w:val="22"/>
              </w:rPr>
            </w:pPr>
          </w:p>
          <w:p w:rsidR="00F068DF" w:rsidRDefault="00F068DF" w:rsidP="00540ECB">
            <w:pPr>
              <w:rPr>
                <w:rFonts w:ascii="Arial" w:hAnsi="Arial" w:cs="Arial"/>
                <w:sz w:val="22"/>
                <w:szCs w:val="22"/>
              </w:rPr>
            </w:pPr>
            <w:r>
              <w:rPr>
                <w:rFonts w:ascii="Arial" w:hAnsi="Arial" w:cs="Arial"/>
                <w:sz w:val="22"/>
                <w:szCs w:val="22"/>
              </w:rPr>
              <w:t>Re HN Business – it was confirmed that Preparing Financial Forecasts has been updated as part of this work.</w:t>
            </w:r>
          </w:p>
          <w:p w:rsidR="00F068DF" w:rsidRPr="009463BF" w:rsidRDefault="00F068DF" w:rsidP="00540ECB">
            <w:pPr>
              <w:rPr>
                <w:rFonts w:ascii="Arial" w:hAnsi="Arial" w:cs="Arial"/>
                <w:sz w:val="22"/>
                <w:szCs w:val="22"/>
              </w:rPr>
            </w:pPr>
          </w:p>
        </w:tc>
        <w:tc>
          <w:tcPr>
            <w:tcW w:w="1778" w:type="dxa"/>
            <w:shd w:val="clear" w:color="auto" w:fill="auto"/>
            <w:tcMar>
              <w:top w:w="57" w:type="dxa"/>
              <w:bottom w:w="57" w:type="dxa"/>
            </w:tcMar>
          </w:tcPr>
          <w:p w:rsidR="005D1970" w:rsidRDefault="005D1970" w:rsidP="00FA09AD">
            <w:pPr>
              <w:rPr>
                <w:rFonts w:ascii="Arial" w:hAnsi="Arial" w:cs="Arial"/>
                <w:sz w:val="22"/>
                <w:szCs w:val="22"/>
              </w:rPr>
            </w:pPr>
          </w:p>
          <w:p w:rsidR="00092A98" w:rsidRDefault="00092A98" w:rsidP="00FA09AD">
            <w:pPr>
              <w:rPr>
                <w:rFonts w:ascii="Arial" w:hAnsi="Arial" w:cs="Arial"/>
                <w:sz w:val="22"/>
                <w:szCs w:val="22"/>
              </w:rPr>
            </w:pPr>
          </w:p>
          <w:p w:rsidR="00092A98" w:rsidRPr="00192EB1" w:rsidRDefault="00092A98" w:rsidP="00FA09AD">
            <w:pPr>
              <w:rPr>
                <w:rFonts w:ascii="Arial" w:hAnsi="Arial" w:cs="Arial"/>
                <w:sz w:val="22"/>
                <w:szCs w:val="22"/>
              </w:rPr>
            </w:pPr>
          </w:p>
        </w:tc>
        <w:tc>
          <w:tcPr>
            <w:tcW w:w="2039" w:type="dxa"/>
            <w:shd w:val="clear" w:color="auto" w:fill="auto"/>
            <w:tcMar>
              <w:top w:w="57" w:type="dxa"/>
              <w:bottom w:w="57" w:type="dxa"/>
            </w:tcMar>
          </w:tcPr>
          <w:p w:rsidR="00AF7EDC" w:rsidRDefault="00AF7EDC" w:rsidP="00FA09AD">
            <w:pPr>
              <w:rPr>
                <w:rFonts w:ascii="Arial" w:hAnsi="Arial" w:cs="Arial"/>
                <w:sz w:val="22"/>
                <w:szCs w:val="22"/>
              </w:rPr>
            </w:pPr>
          </w:p>
          <w:p w:rsidR="00092A98" w:rsidRPr="00192EB1" w:rsidRDefault="00092A98" w:rsidP="00FA09AD">
            <w:pPr>
              <w:rPr>
                <w:rFonts w:ascii="Arial" w:hAnsi="Arial" w:cs="Arial"/>
                <w:sz w:val="22"/>
                <w:szCs w:val="22"/>
              </w:rPr>
            </w:pPr>
          </w:p>
        </w:tc>
      </w:tr>
      <w:tr w:rsidR="005969A6" w:rsidRPr="00192EB1" w:rsidTr="00F068DF">
        <w:tc>
          <w:tcPr>
            <w:tcW w:w="826" w:type="dxa"/>
            <w:shd w:val="clear" w:color="auto" w:fill="auto"/>
            <w:tcMar>
              <w:top w:w="57" w:type="dxa"/>
              <w:bottom w:w="57" w:type="dxa"/>
            </w:tcMar>
          </w:tcPr>
          <w:p w:rsidR="005969A6" w:rsidRDefault="00277C5A" w:rsidP="00F068DF">
            <w:pPr>
              <w:rPr>
                <w:rFonts w:ascii="Arial" w:hAnsi="Arial" w:cs="Arial"/>
                <w:sz w:val="22"/>
                <w:szCs w:val="22"/>
              </w:rPr>
            </w:pPr>
            <w:r>
              <w:rPr>
                <w:rFonts w:ascii="Arial" w:hAnsi="Arial" w:cs="Arial"/>
                <w:sz w:val="22"/>
                <w:szCs w:val="22"/>
              </w:rPr>
              <w:lastRenderedPageBreak/>
              <w:t>2</w:t>
            </w:r>
            <w:r w:rsidR="00F068DF">
              <w:rPr>
                <w:rFonts w:ascii="Arial" w:hAnsi="Arial" w:cs="Arial"/>
                <w:sz w:val="22"/>
                <w:szCs w:val="22"/>
              </w:rPr>
              <w:t>2</w:t>
            </w:r>
            <w:r w:rsidR="005969A6">
              <w:rPr>
                <w:rFonts w:ascii="Arial" w:hAnsi="Arial" w:cs="Arial"/>
                <w:sz w:val="22"/>
                <w:szCs w:val="22"/>
              </w:rPr>
              <w:t>/</w:t>
            </w:r>
            <w:r w:rsidR="00092A98">
              <w:rPr>
                <w:rFonts w:ascii="Arial" w:hAnsi="Arial" w:cs="Arial"/>
                <w:sz w:val="22"/>
                <w:szCs w:val="22"/>
              </w:rPr>
              <w:t>8</w:t>
            </w:r>
          </w:p>
        </w:tc>
        <w:tc>
          <w:tcPr>
            <w:tcW w:w="1834" w:type="dxa"/>
            <w:shd w:val="clear" w:color="auto" w:fill="auto"/>
            <w:tcMar>
              <w:top w:w="57" w:type="dxa"/>
              <w:bottom w:w="57" w:type="dxa"/>
            </w:tcMar>
          </w:tcPr>
          <w:p w:rsidR="005969A6" w:rsidRDefault="00AF0E1F" w:rsidP="005969A6">
            <w:pPr>
              <w:rPr>
                <w:rFonts w:ascii="Arial" w:hAnsi="Arial" w:cs="Arial"/>
                <w:sz w:val="22"/>
                <w:szCs w:val="22"/>
              </w:rPr>
            </w:pPr>
            <w:r>
              <w:rPr>
                <w:rFonts w:ascii="Arial" w:hAnsi="Arial" w:cs="Arial"/>
                <w:sz w:val="22"/>
                <w:szCs w:val="22"/>
              </w:rPr>
              <w:t>HN Unit and ASP comments</w:t>
            </w:r>
          </w:p>
        </w:tc>
        <w:tc>
          <w:tcPr>
            <w:tcW w:w="7697" w:type="dxa"/>
            <w:shd w:val="clear" w:color="auto" w:fill="auto"/>
            <w:tcMar>
              <w:top w:w="57" w:type="dxa"/>
              <w:bottom w:w="57" w:type="dxa"/>
            </w:tcMar>
          </w:tcPr>
          <w:p w:rsidR="00F77A06" w:rsidRDefault="00AF0E1F" w:rsidP="001B57F5">
            <w:pPr>
              <w:rPr>
                <w:rFonts w:ascii="Arial" w:hAnsi="Arial" w:cs="Arial"/>
                <w:sz w:val="22"/>
                <w:szCs w:val="22"/>
              </w:rPr>
            </w:pPr>
            <w:r>
              <w:rPr>
                <w:rFonts w:ascii="Arial" w:hAnsi="Arial" w:cs="Arial"/>
                <w:sz w:val="22"/>
                <w:szCs w:val="22"/>
              </w:rPr>
              <w:t xml:space="preserve">No comments have been submitted by centres </w:t>
            </w:r>
            <w:proofErr w:type="spellStart"/>
            <w:r>
              <w:rPr>
                <w:rFonts w:ascii="Arial" w:hAnsi="Arial" w:cs="Arial"/>
                <w:sz w:val="22"/>
                <w:szCs w:val="22"/>
              </w:rPr>
              <w:t>outwith</w:t>
            </w:r>
            <w:proofErr w:type="spellEnd"/>
            <w:r>
              <w:rPr>
                <w:rFonts w:ascii="Arial" w:hAnsi="Arial" w:cs="Arial"/>
                <w:sz w:val="22"/>
                <w:szCs w:val="22"/>
              </w:rPr>
              <w:t xml:space="preserve"> those received as part of the HN Administration and IT Review. </w:t>
            </w:r>
          </w:p>
          <w:p w:rsidR="00AF0E1F" w:rsidRDefault="00AF0E1F" w:rsidP="001B57F5">
            <w:pPr>
              <w:rPr>
                <w:rFonts w:ascii="Arial" w:hAnsi="Arial" w:cs="Arial"/>
                <w:sz w:val="22"/>
                <w:szCs w:val="22"/>
              </w:rPr>
            </w:pPr>
          </w:p>
          <w:p w:rsidR="00AF0E1F" w:rsidRDefault="003F4F49" w:rsidP="001B57F5">
            <w:pPr>
              <w:rPr>
                <w:rFonts w:ascii="Arial" w:hAnsi="Arial" w:cs="Arial"/>
                <w:sz w:val="22"/>
                <w:szCs w:val="22"/>
              </w:rPr>
            </w:pPr>
            <w:r>
              <w:rPr>
                <w:rFonts w:ascii="Arial" w:hAnsi="Arial" w:cs="Arial"/>
                <w:sz w:val="22"/>
                <w:szCs w:val="22"/>
              </w:rPr>
              <w:t>BAQO</w:t>
            </w:r>
            <w:r w:rsidR="00AF0E1F">
              <w:rPr>
                <w:rFonts w:ascii="Arial" w:hAnsi="Arial" w:cs="Arial"/>
                <w:sz w:val="22"/>
                <w:szCs w:val="22"/>
              </w:rPr>
              <w:t xml:space="preserve"> advised that two units have been added as options to the HNC and HND Business frameworks at the request of a centre:</w:t>
            </w:r>
          </w:p>
          <w:p w:rsidR="00AF0E1F" w:rsidRDefault="00AF0E1F" w:rsidP="001B57F5">
            <w:pPr>
              <w:rPr>
                <w:rFonts w:ascii="Arial" w:hAnsi="Arial" w:cs="Arial"/>
                <w:sz w:val="22"/>
                <w:szCs w:val="22"/>
              </w:rPr>
            </w:pPr>
          </w:p>
          <w:p w:rsidR="00AF0E1F" w:rsidRDefault="00AF0E1F" w:rsidP="001B57F5">
            <w:pPr>
              <w:rPr>
                <w:rFonts w:ascii="Arial" w:hAnsi="Arial" w:cs="Arial"/>
                <w:sz w:val="22"/>
                <w:szCs w:val="22"/>
              </w:rPr>
            </w:pPr>
            <w:r>
              <w:rPr>
                <w:rFonts w:ascii="Arial" w:hAnsi="Arial" w:cs="Arial"/>
                <w:sz w:val="22"/>
                <w:szCs w:val="22"/>
              </w:rPr>
              <w:t xml:space="preserve">Digital Marketing Communications </w:t>
            </w:r>
            <w:r w:rsidRPr="00AF0E1F">
              <w:rPr>
                <w:rFonts w:ascii="Arial" w:hAnsi="Arial" w:cs="Arial"/>
                <w:sz w:val="22"/>
                <w:szCs w:val="22"/>
              </w:rPr>
              <w:t>FK93 34</w:t>
            </w:r>
            <w:r>
              <w:rPr>
                <w:rFonts w:ascii="Arial" w:hAnsi="Arial" w:cs="Arial"/>
                <w:sz w:val="22"/>
                <w:szCs w:val="22"/>
              </w:rPr>
              <w:t xml:space="preserve"> (SCQF Level 7)</w:t>
            </w:r>
          </w:p>
          <w:p w:rsidR="00AF0E1F" w:rsidRDefault="00AF0E1F" w:rsidP="00AF0E1F">
            <w:pPr>
              <w:pStyle w:val="Table"/>
            </w:pPr>
            <w:r>
              <w:t>Marketing Communications: Using Digital Media  FK92 35 (SCQF Level 8)</w:t>
            </w:r>
          </w:p>
          <w:p w:rsidR="00AF0E1F" w:rsidRDefault="00AF0E1F" w:rsidP="001B57F5">
            <w:pPr>
              <w:rPr>
                <w:rFonts w:ascii="Arial" w:hAnsi="Arial" w:cs="Arial"/>
                <w:sz w:val="22"/>
                <w:szCs w:val="22"/>
              </w:rPr>
            </w:pPr>
          </w:p>
          <w:p w:rsidR="005969A6" w:rsidRDefault="00AF0E1F" w:rsidP="001B57F5">
            <w:pPr>
              <w:rPr>
                <w:rFonts w:ascii="Arial" w:hAnsi="Arial" w:cs="Arial"/>
                <w:sz w:val="22"/>
                <w:szCs w:val="22"/>
              </w:rPr>
            </w:pPr>
            <w:r>
              <w:rPr>
                <w:rFonts w:ascii="Arial" w:hAnsi="Arial" w:cs="Arial"/>
                <w:sz w:val="22"/>
                <w:szCs w:val="22"/>
              </w:rPr>
              <w:t>Consideration can be given to adding these units as options to HNC/D Administration and IT as part of the ongoing Review.</w:t>
            </w:r>
          </w:p>
          <w:p w:rsidR="00AF0E1F" w:rsidRDefault="00AF0E1F" w:rsidP="001B57F5">
            <w:pPr>
              <w:rPr>
                <w:rFonts w:ascii="Arial" w:hAnsi="Arial" w:cs="Arial"/>
                <w:sz w:val="22"/>
                <w:szCs w:val="22"/>
              </w:rPr>
            </w:pPr>
          </w:p>
          <w:p w:rsidR="00AF0E1F" w:rsidRDefault="003F4F49" w:rsidP="00AF0E1F">
            <w:pPr>
              <w:rPr>
                <w:rFonts w:ascii="Arial" w:hAnsi="Arial" w:cs="Arial"/>
                <w:sz w:val="22"/>
                <w:szCs w:val="22"/>
              </w:rPr>
            </w:pPr>
            <w:r>
              <w:rPr>
                <w:rFonts w:ascii="Arial" w:hAnsi="Arial" w:cs="Arial"/>
                <w:sz w:val="22"/>
                <w:szCs w:val="22"/>
              </w:rPr>
              <w:t>In response to a query from a centre, t</w:t>
            </w:r>
            <w:r w:rsidR="00AF0E1F">
              <w:rPr>
                <w:rFonts w:ascii="Arial" w:hAnsi="Arial" w:cs="Arial"/>
                <w:sz w:val="22"/>
                <w:szCs w:val="22"/>
              </w:rPr>
              <w:t xml:space="preserve">here was some discussion around management of late submissions of project and coursework for assessments. It was agreed that it continues to be appropriate for this to be managed by centres </w:t>
            </w:r>
            <w:proofErr w:type="gramStart"/>
            <w:r w:rsidR="00AF0E1F">
              <w:rPr>
                <w:rFonts w:ascii="Arial" w:hAnsi="Arial" w:cs="Arial"/>
                <w:sz w:val="22"/>
                <w:szCs w:val="22"/>
              </w:rPr>
              <w:t>who</w:t>
            </w:r>
            <w:proofErr w:type="gramEnd"/>
            <w:r w:rsidR="00AF0E1F">
              <w:rPr>
                <w:rFonts w:ascii="Arial" w:hAnsi="Arial" w:cs="Arial"/>
                <w:sz w:val="22"/>
                <w:szCs w:val="22"/>
              </w:rPr>
              <w:t xml:space="preserve"> have access to all the pertaining information and circumstances.</w:t>
            </w:r>
          </w:p>
          <w:p w:rsidR="00AF0E1F" w:rsidRDefault="00AF0E1F" w:rsidP="00AF0E1F">
            <w:pPr>
              <w:rPr>
                <w:rFonts w:ascii="Arial" w:hAnsi="Arial" w:cs="Arial"/>
                <w:sz w:val="22"/>
                <w:szCs w:val="22"/>
              </w:rPr>
            </w:pPr>
          </w:p>
        </w:tc>
        <w:tc>
          <w:tcPr>
            <w:tcW w:w="1778" w:type="dxa"/>
            <w:shd w:val="clear" w:color="auto" w:fill="auto"/>
            <w:tcMar>
              <w:top w:w="57" w:type="dxa"/>
              <w:bottom w:w="57" w:type="dxa"/>
            </w:tcMar>
          </w:tcPr>
          <w:p w:rsidR="00F77A06" w:rsidRDefault="00F77A06" w:rsidP="00FA09AD">
            <w:pPr>
              <w:rPr>
                <w:rFonts w:ascii="Arial" w:hAnsi="Arial" w:cs="Arial"/>
                <w:sz w:val="22"/>
                <w:szCs w:val="22"/>
              </w:rPr>
            </w:pPr>
          </w:p>
        </w:tc>
        <w:tc>
          <w:tcPr>
            <w:tcW w:w="2039" w:type="dxa"/>
            <w:shd w:val="clear" w:color="auto" w:fill="auto"/>
            <w:tcMar>
              <w:top w:w="57" w:type="dxa"/>
              <w:bottom w:w="57" w:type="dxa"/>
            </w:tcMar>
          </w:tcPr>
          <w:p w:rsidR="00F77A06" w:rsidRDefault="00F77A06" w:rsidP="00FA09AD">
            <w:pPr>
              <w:rPr>
                <w:rFonts w:ascii="Arial" w:hAnsi="Arial" w:cs="Arial"/>
                <w:sz w:val="22"/>
                <w:szCs w:val="22"/>
              </w:rPr>
            </w:pPr>
          </w:p>
        </w:tc>
      </w:tr>
      <w:tr w:rsidR="00092A98" w:rsidRPr="00192EB1" w:rsidTr="00F068DF">
        <w:tc>
          <w:tcPr>
            <w:tcW w:w="826" w:type="dxa"/>
            <w:shd w:val="clear" w:color="auto" w:fill="auto"/>
            <w:tcMar>
              <w:top w:w="57" w:type="dxa"/>
              <w:bottom w:w="57" w:type="dxa"/>
            </w:tcMar>
          </w:tcPr>
          <w:p w:rsidR="00092A98" w:rsidRDefault="00092A98" w:rsidP="00AF0E1F">
            <w:pPr>
              <w:rPr>
                <w:rFonts w:ascii="Arial" w:hAnsi="Arial" w:cs="Arial"/>
                <w:sz w:val="22"/>
                <w:szCs w:val="22"/>
              </w:rPr>
            </w:pPr>
            <w:r>
              <w:rPr>
                <w:rFonts w:ascii="Arial" w:hAnsi="Arial" w:cs="Arial"/>
                <w:sz w:val="22"/>
                <w:szCs w:val="22"/>
              </w:rPr>
              <w:t>2</w:t>
            </w:r>
            <w:r w:rsidR="00AF0E1F">
              <w:rPr>
                <w:rFonts w:ascii="Arial" w:hAnsi="Arial" w:cs="Arial"/>
                <w:sz w:val="22"/>
                <w:szCs w:val="22"/>
              </w:rPr>
              <w:t>2</w:t>
            </w:r>
            <w:r>
              <w:rPr>
                <w:rFonts w:ascii="Arial" w:hAnsi="Arial" w:cs="Arial"/>
                <w:sz w:val="22"/>
                <w:szCs w:val="22"/>
              </w:rPr>
              <w:t>/9</w:t>
            </w:r>
          </w:p>
        </w:tc>
        <w:tc>
          <w:tcPr>
            <w:tcW w:w="1834" w:type="dxa"/>
            <w:shd w:val="clear" w:color="auto" w:fill="auto"/>
            <w:tcMar>
              <w:top w:w="57" w:type="dxa"/>
              <w:bottom w:w="57" w:type="dxa"/>
            </w:tcMar>
          </w:tcPr>
          <w:p w:rsidR="00092A98" w:rsidRDefault="00AF0E1F" w:rsidP="005969A6">
            <w:pPr>
              <w:rPr>
                <w:rFonts w:ascii="Arial" w:hAnsi="Arial" w:cs="Arial"/>
                <w:sz w:val="22"/>
                <w:szCs w:val="22"/>
              </w:rPr>
            </w:pPr>
            <w:r>
              <w:rPr>
                <w:rFonts w:ascii="Arial" w:hAnsi="Arial" w:cs="Arial"/>
                <w:sz w:val="22"/>
                <w:szCs w:val="22"/>
              </w:rPr>
              <w:t>Any other Business</w:t>
            </w:r>
          </w:p>
        </w:tc>
        <w:tc>
          <w:tcPr>
            <w:tcW w:w="7697" w:type="dxa"/>
            <w:shd w:val="clear" w:color="auto" w:fill="auto"/>
            <w:tcMar>
              <w:top w:w="57" w:type="dxa"/>
              <w:bottom w:w="57" w:type="dxa"/>
            </w:tcMar>
          </w:tcPr>
          <w:p w:rsidR="00092A98" w:rsidRDefault="003F4F49" w:rsidP="00AF0E1F">
            <w:pPr>
              <w:rPr>
                <w:rFonts w:ascii="Arial" w:hAnsi="Arial" w:cs="Arial"/>
                <w:sz w:val="22"/>
                <w:szCs w:val="22"/>
              </w:rPr>
            </w:pPr>
            <w:r>
              <w:rPr>
                <w:rFonts w:ascii="Arial" w:hAnsi="Arial" w:cs="Arial"/>
                <w:sz w:val="22"/>
                <w:szCs w:val="22"/>
              </w:rPr>
              <w:t>BAQO</w:t>
            </w:r>
            <w:r w:rsidR="00AF0E1F">
              <w:rPr>
                <w:rFonts w:ascii="Arial" w:hAnsi="Arial" w:cs="Arial"/>
                <w:sz w:val="22"/>
                <w:szCs w:val="22"/>
              </w:rPr>
              <w:t xml:space="preserve"> advised that Skills Development Scotland have finalised the framework for the Foundation Apprenticeship in Business Skills. Foundation Apprenticeships combine knowledge-based units with workplace assessment. In the case of Business Skills this consists of units from the NPA in Business with IT, SVQ units in Business and Administration and a new NQ work-based unit. The Business Skills Foundation Apprenticeship will be available for delivery from August 2016.</w:t>
            </w:r>
          </w:p>
          <w:p w:rsidR="00AF0E1F" w:rsidRDefault="00AF0E1F" w:rsidP="00AF0E1F">
            <w:pPr>
              <w:rPr>
                <w:rFonts w:ascii="Arial" w:hAnsi="Arial" w:cs="Arial"/>
                <w:sz w:val="22"/>
                <w:szCs w:val="22"/>
              </w:rPr>
            </w:pPr>
          </w:p>
          <w:p w:rsidR="00AF0E1F" w:rsidRDefault="003F4F49" w:rsidP="00AF0E1F">
            <w:pPr>
              <w:rPr>
                <w:rFonts w:ascii="Arial" w:hAnsi="Arial" w:cs="Arial"/>
                <w:sz w:val="22"/>
                <w:szCs w:val="22"/>
              </w:rPr>
            </w:pPr>
            <w:r>
              <w:rPr>
                <w:rFonts w:ascii="Arial" w:hAnsi="Arial" w:cs="Arial"/>
                <w:sz w:val="22"/>
                <w:szCs w:val="22"/>
              </w:rPr>
              <w:t>BAQO</w:t>
            </w:r>
            <w:r w:rsidR="00AF0E1F">
              <w:rPr>
                <w:rFonts w:ascii="Arial" w:hAnsi="Arial" w:cs="Arial"/>
                <w:sz w:val="22"/>
                <w:szCs w:val="22"/>
              </w:rPr>
              <w:t xml:space="preserve"> advised that a business case is being prepared for the </w:t>
            </w:r>
            <w:proofErr w:type="gramStart"/>
            <w:r w:rsidR="00AF0E1F">
              <w:rPr>
                <w:rFonts w:ascii="Arial" w:hAnsi="Arial" w:cs="Arial"/>
                <w:sz w:val="22"/>
                <w:szCs w:val="22"/>
              </w:rPr>
              <w:t xml:space="preserve">accreditation  </w:t>
            </w:r>
            <w:r w:rsidR="00AF0E1F">
              <w:rPr>
                <w:rFonts w:ascii="Arial" w:hAnsi="Arial" w:cs="Arial"/>
                <w:sz w:val="22"/>
                <w:szCs w:val="22"/>
              </w:rPr>
              <w:lastRenderedPageBreak/>
              <w:t>of</w:t>
            </w:r>
            <w:proofErr w:type="gramEnd"/>
            <w:r w:rsidR="00AF0E1F">
              <w:rPr>
                <w:rFonts w:ascii="Arial" w:hAnsi="Arial" w:cs="Arial"/>
                <w:sz w:val="22"/>
                <w:szCs w:val="22"/>
              </w:rPr>
              <w:t xml:space="preserve"> a CBQ qualification in Enterprise Skills in a Business Environment. The qualification is based on National Occupational Standards and follows an SVQ style Assessment Strategy. The content covers entrepreneurial activities and skills, but is not limited</w:t>
            </w:r>
            <w:r>
              <w:rPr>
                <w:rFonts w:ascii="Arial" w:hAnsi="Arial" w:cs="Arial"/>
                <w:sz w:val="22"/>
                <w:szCs w:val="22"/>
              </w:rPr>
              <w:t xml:space="preserve"> to the entrepreneurial context;</w:t>
            </w:r>
            <w:r w:rsidR="00AF0E1F">
              <w:rPr>
                <w:rFonts w:ascii="Arial" w:hAnsi="Arial" w:cs="Arial"/>
                <w:sz w:val="22"/>
                <w:szCs w:val="22"/>
              </w:rPr>
              <w:t xml:space="preserve"> it is open to those who have transformational and innovative roles within organisations. There is potential to deliver to young people via a Social Enterprise model or mentored work placement. The qualification has been piloted in a Fife high school via the SSC’s awarding body arm with support from Fife council.</w:t>
            </w:r>
          </w:p>
          <w:p w:rsidR="00FF07E6" w:rsidRDefault="00FF07E6" w:rsidP="00AF0E1F">
            <w:pPr>
              <w:rPr>
                <w:rFonts w:ascii="Arial" w:hAnsi="Arial" w:cs="Arial"/>
                <w:sz w:val="22"/>
                <w:szCs w:val="22"/>
              </w:rPr>
            </w:pPr>
          </w:p>
          <w:p w:rsidR="00FF07E6" w:rsidRDefault="003F4F49" w:rsidP="00AF0E1F">
            <w:pPr>
              <w:rPr>
                <w:rFonts w:ascii="Arial" w:hAnsi="Arial" w:cs="Arial"/>
                <w:sz w:val="22"/>
                <w:szCs w:val="22"/>
              </w:rPr>
            </w:pPr>
            <w:r>
              <w:rPr>
                <w:rFonts w:ascii="Arial" w:hAnsi="Arial" w:cs="Arial"/>
                <w:sz w:val="22"/>
                <w:szCs w:val="22"/>
              </w:rPr>
              <w:t>A QRT member</w:t>
            </w:r>
            <w:r w:rsidR="00FF07E6">
              <w:rPr>
                <w:rFonts w:ascii="Arial" w:hAnsi="Arial" w:cs="Arial"/>
                <w:sz w:val="22"/>
                <w:szCs w:val="22"/>
              </w:rPr>
              <w:t xml:space="preserve"> provided names of two colleagues who may be interested in supporting the development.</w:t>
            </w:r>
          </w:p>
          <w:p w:rsidR="00AF0E1F" w:rsidRDefault="00AF0E1F" w:rsidP="00AF0E1F">
            <w:pPr>
              <w:rPr>
                <w:rFonts w:ascii="Arial" w:hAnsi="Arial" w:cs="Arial"/>
                <w:sz w:val="22"/>
                <w:szCs w:val="22"/>
              </w:rPr>
            </w:pPr>
          </w:p>
          <w:p w:rsidR="00FF07E6" w:rsidRDefault="00FF07E6" w:rsidP="00AF0E1F">
            <w:pPr>
              <w:rPr>
                <w:rFonts w:ascii="Arial" w:hAnsi="Arial" w:cs="Arial"/>
                <w:sz w:val="22"/>
                <w:szCs w:val="22"/>
              </w:rPr>
            </w:pPr>
            <w:r>
              <w:rPr>
                <w:rFonts w:ascii="Arial" w:hAnsi="Arial" w:cs="Arial"/>
                <w:sz w:val="22"/>
                <w:szCs w:val="22"/>
              </w:rPr>
              <w:t>A request was made for uptake figures for NC Accounting for comparison with HN.</w:t>
            </w:r>
          </w:p>
        </w:tc>
        <w:tc>
          <w:tcPr>
            <w:tcW w:w="1778" w:type="dxa"/>
            <w:shd w:val="clear" w:color="auto" w:fill="auto"/>
            <w:tcMar>
              <w:top w:w="57" w:type="dxa"/>
              <w:bottom w:w="57" w:type="dxa"/>
            </w:tcMar>
          </w:tcPr>
          <w:p w:rsidR="00092A98" w:rsidRDefault="00092A98"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3F4F49" w:rsidP="00FA09AD">
            <w:pPr>
              <w:rPr>
                <w:rFonts w:ascii="Arial" w:hAnsi="Arial" w:cs="Arial"/>
                <w:sz w:val="22"/>
                <w:szCs w:val="22"/>
              </w:rPr>
            </w:pPr>
            <w:r>
              <w:rPr>
                <w:rFonts w:ascii="Arial" w:hAnsi="Arial" w:cs="Arial"/>
                <w:sz w:val="22"/>
                <w:szCs w:val="22"/>
              </w:rPr>
              <w:t>BAQO</w:t>
            </w: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Pr="00FF07E6" w:rsidRDefault="003F4F49" w:rsidP="00FA09AD">
            <w:pPr>
              <w:rPr>
                <w:rFonts w:ascii="Arial" w:hAnsi="Arial" w:cs="Arial"/>
                <w:sz w:val="22"/>
                <w:szCs w:val="22"/>
              </w:rPr>
            </w:pPr>
            <w:r>
              <w:rPr>
                <w:rFonts w:ascii="Arial" w:hAnsi="Arial" w:cs="Arial"/>
                <w:sz w:val="22"/>
                <w:szCs w:val="22"/>
              </w:rPr>
              <w:t>AFQO</w:t>
            </w:r>
          </w:p>
        </w:tc>
        <w:tc>
          <w:tcPr>
            <w:tcW w:w="2039" w:type="dxa"/>
            <w:shd w:val="clear" w:color="auto" w:fill="auto"/>
            <w:tcMar>
              <w:top w:w="57" w:type="dxa"/>
              <w:bottom w:w="57" w:type="dxa"/>
            </w:tcMar>
          </w:tcPr>
          <w:p w:rsidR="00092A98" w:rsidRDefault="00092A98"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r>
              <w:rPr>
                <w:rFonts w:ascii="Arial" w:hAnsi="Arial" w:cs="Arial"/>
                <w:sz w:val="22"/>
                <w:szCs w:val="22"/>
              </w:rPr>
              <w:t>June 2016</w:t>
            </w: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p>
          <w:p w:rsidR="00FF07E6" w:rsidRDefault="00FF07E6" w:rsidP="00FA09AD">
            <w:pPr>
              <w:rPr>
                <w:rFonts w:ascii="Arial" w:hAnsi="Arial" w:cs="Arial"/>
                <w:sz w:val="22"/>
                <w:szCs w:val="22"/>
              </w:rPr>
            </w:pPr>
            <w:r>
              <w:rPr>
                <w:rFonts w:ascii="Arial" w:hAnsi="Arial" w:cs="Arial"/>
                <w:sz w:val="22"/>
                <w:szCs w:val="22"/>
              </w:rPr>
              <w:t>June 2016</w:t>
            </w:r>
          </w:p>
        </w:tc>
      </w:tr>
      <w:tr w:rsidR="001D18DB" w:rsidRPr="00192EB1" w:rsidTr="00F068DF">
        <w:tc>
          <w:tcPr>
            <w:tcW w:w="826" w:type="dxa"/>
            <w:shd w:val="clear" w:color="auto" w:fill="auto"/>
            <w:tcMar>
              <w:top w:w="57" w:type="dxa"/>
              <w:bottom w:w="57" w:type="dxa"/>
            </w:tcMar>
          </w:tcPr>
          <w:p w:rsidR="001D18DB" w:rsidRDefault="001D18DB" w:rsidP="00AF0E1F">
            <w:pPr>
              <w:rPr>
                <w:rFonts w:ascii="Arial" w:hAnsi="Arial" w:cs="Arial"/>
                <w:sz w:val="22"/>
                <w:szCs w:val="22"/>
              </w:rPr>
            </w:pPr>
            <w:r>
              <w:rPr>
                <w:rFonts w:ascii="Arial" w:hAnsi="Arial" w:cs="Arial"/>
                <w:sz w:val="22"/>
                <w:szCs w:val="22"/>
              </w:rPr>
              <w:lastRenderedPageBreak/>
              <w:t>22/10</w:t>
            </w:r>
          </w:p>
        </w:tc>
        <w:tc>
          <w:tcPr>
            <w:tcW w:w="1834" w:type="dxa"/>
            <w:shd w:val="clear" w:color="auto" w:fill="auto"/>
            <w:tcMar>
              <w:top w:w="57" w:type="dxa"/>
              <w:bottom w:w="57" w:type="dxa"/>
            </w:tcMar>
          </w:tcPr>
          <w:p w:rsidR="001D18DB" w:rsidRDefault="001D18DB" w:rsidP="005969A6">
            <w:pPr>
              <w:rPr>
                <w:rFonts w:ascii="Arial" w:hAnsi="Arial" w:cs="Arial"/>
                <w:sz w:val="22"/>
                <w:szCs w:val="22"/>
              </w:rPr>
            </w:pPr>
            <w:r>
              <w:rPr>
                <w:rFonts w:ascii="Arial" w:hAnsi="Arial" w:cs="Arial"/>
                <w:sz w:val="22"/>
                <w:szCs w:val="22"/>
              </w:rPr>
              <w:t>Date of Next Meeting</w:t>
            </w:r>
          </w:p>
        </w:tc>
        <w:tc>
          <w:tcPr>
            <w:tcW w:w="7697" w:type="dxa"/>
            <w:shd w:val="clear" w:color="auto" w:fill="auto"/>
            <w:tcMar>
              <w:top w:w="57" w:type="dxa"/>
              <w:bottom w:w="57" w:type="dxa"/>
            </w:tcMar>
          </w:tcPr>
          <w:p w:rsidR="001D18DB" w:rsidRDefault="001D18DB" w:rsidP="00AF0E1F">
            <w:pPr>
              <w:rPr>
                <w:rFonts w:ascii="Arial" w:hAnsi="Arial" w:cs="Arial"/>
                <w:sz w:val="22"/>
                <w:szCs w:val="22"/>
              </w:rPr>
            </w:pPr>
            <w:r>
              <w:rPr>
                <w:rFonts w:ascii="Arial" w:hAnsi="Arial" w:cs="Arial"/>
                <w:sz w:val="22"/>
                <w:szCs w:val="22"/>
              </w:rPr>
              <w:t>A provisional date of Wednesday 26</w:t>
            </w:r>
            <w:r w:rsidRPr="001D18DB">
              <w:rPr>
                <w:rFonts w:ascii="Arial" w:hAnsi="Arial" w:cs="Arial"/>
                <w:sz w:val="22"/>
                <w:szCs w:val="22"/>
                <w:vertAlign w:val="superscript"/>
              </w:rPr>
              <w:t>th</w:t>
            </w:r>
            <w:r>
              <w:rPr>
                <w:rFonts w:ascii="Arial" w:hAnsi="Arial" w:cs="Arial"/>
                <w:sz w:val="22"/>
                <w:szCs w:val="22"/>
              </w:rPr>
              <w:t xml:space="preserve"> October 2016 was agreed for </w:t>
            </w:r>
            <w:bookmarkStart w:id="0" w:name="_GoBack"/>
            <w:bookmarkEnd w:id="0"/>
            <w:r>
              <w:rPr>
                <w:rFonts w:ascii="Arial" w:hAnsi="Arial" w:cs="Arial"/>
                <w:sz w:val="22"/>
                <w:szCs w:val="22"/>
              </w:rPr>
              <w:t>meeting 23</w:t>
            </w:r>
            <w:r w:rsidR="006E1C96">
              <w:rPr>
                <w:rFonts w:ascii="Arial" w:hAnsi="Arial" w:cs="Arial"/>
                <w:sz w:val="22"/>
                <w:szCs w:val="22"/>
              </w:rPr>
              <w:t xml:space="preserve"> of the QST</w:t>
            </w:r>
            <w:r>
              <w:rPr>
                <w:rFonts w:ascii="Arial" w:hAnsi="Arial" w:cs="Arial"/>
                <w:sz w:val="22"/>
                <w:szCs w:val="22"/>
              </w:rPr>
              <w:t>.</w:t>
            </w:r>
          </w:p>
          <w:p w:rsidR="001D18DB" w:rsidRDefault="001D18DB" w:rsidP="00AF0E1F">
            <w:pPr>
              <w:rPr>
                <w:rFonts w:ascii="Arial" w:hAnsi="Arial" w:cs="Arial"/>
                <w:sz w:val="22"/>
                <w:szCs w:val="22"/>
              </w:rPr>
            </w:pPr>
          </w:p>
        </w:tc>
        <w:tc>
          <w:tcPr>
            <w:tcW w:w="1778" w:type="dxa"/>
            <w:shd w:val="clear" w:color="auto" w:fill="auto"/>
            <w:tcMar>
              <w:top w:w="57" w:type="dxa"/>
              <w:bottom w:w="57" w:type="dxa"/>
            </w:tcMar>
          </w:tcPr>
          <w:p w:rsidR="001D18DB" w:rsidRDefault="001D18DB" w:rsidP="00FA09AD">
            <w:pPr>
              <w:rPr>
                <w:rFonts w:ascii="Arial" w:hAnsi="Arial" w:cs="Arial"/>
                <w:sz w:val="22"/>
                <w:szCs w:val="22"/>
              </w:rPr>
            </w:pPr>
          </w:p>
        </w:tc>
        <w:tc>
          <w:tcPr>
            <w:tcW w:w="2039" w:type="dxa"/>
            <w:shd w:val="clear" w:color="auto" w:fill="auto"/>
            <w:tcMar>
              <w:top w:w="57" w:type="dxa"/>
              <w:bottom w:w="57" w:type="dxa"/>
            </w:tcMar>
          </w:tcPr>
          <w:p w:rsidR="001D18DB" w:rsidRDefault="001D18DB" w:rsidP="00FA09AD">
            <w:pPr>
              <w:rPr>
                <w:rFonts w:ascii="Arial" w:hAnsi="Arial" w:cs="Arial"/>
                <w:sz w:val="22"/>
                <w:szCs w:val="22"/>
              </w:rPr>
            </w:pPr>
          </w:p>
        </w:tc>
      </w:tr>
    </w:tbl>
    <w:p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9C" w:rsidRDefault="002B529C" w:rsidP="00800DF8">
      <w:r>
        <w:separator/>
      </w:r>
    </w:p>
  </w:endnote>
  <w:endnote w:type="continuationSeparator" w:id="0">
    <w:p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9C" w:rsidRDefault="002B529C" w:rsidP="00800DF8">
      <w:r>
        <w:separator/>
      </w:r>
    </w:p>
  </w:footnote>
  <w:footnote w:type="continuationSeparator" w:id="0">
    <w:p w:rsidR="002B529C" w:rsidRDefault="002B529C" w:rsidP="0080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325D32"/>
    <w:lvl w:ilvl="0">
      <w:numFmt w:val="bullet"/>
      <w:lvlText w:val="*"/>
      <w:lvlJc w:val="left"/>
    </w:lvl>
  </w:abstractNum>
  <w:abstractNum w:abstractNumId="1">
    <w:nsid w:val="045E2A94"/>
    <w:multiLevelType w:val="hybridMultilevel"/>
    <w:tmpl w:val="974A8D62"/>
    <w:lvl w:ilvl="0" w:tplc="FFBEB2C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877664"/>
    <w:multiLevelType w:val="hybridMultilevel"/>
    <w:tmpl w:val="A8EAA16C"/>
    <w:lvl w:ilvl="0" w:tplc="AD8AF87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8">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CE6A90"/>
    <w:multiLevelType w:val="hybridMultilevel"/>
    <w:tmpl w:val="D3504050"/>
    <w:lvl w:ilvl="0" w:tplc="5EDEFC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
  </w:num>
  <w:num w:numId="5">
    <w:abstractNumId w:val="8"/>
  </w:num>
  <w:num w:numId="6">
    <w:abstractNumId w:val="14"/>
  </w:num>
  <w:num w:numId="7">
    <w:abstractNumId w:val="7"/>
  </w:num>
  <w:num w:numId="8">
    <w:abstractNumId w:val="4"/>
  </w:num>
  <w:num w:numId="9">
    <w:abstractNumId w:val="10"/>
  </w:num>
  <w:num w:numId="10">
    <w:abstractNumId w:val="13"/>
  </w:num>
  <w:num w:numId="11">
    <w:abstractNumId w:val="6"/>
  </w:num>
  <w:num w:numId="12">
    <w:abstractNumId w:val="11"/>
  </w:num>
  <w:num w:numId="13">
    <w:abstractNumId w:val="12"/>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C"/>
    <w:rsid w:val="000039F0"/>
    <w:rsid w:val="000069EA"/>
    <w:rsid w:val="00006ED5"/>
    <w:rsid w:val="000116B2"/>
    <w:rsid w:val="00015741"/>
    <w:rsid w:val="00015DFD"/>
    <w:rsid w:val="00016C15"/>
    <w:rsid w:val="000246F1"/>
    <w:rsid w:val="00037EFE"/>
    <w:rsid w:val="00040B3B"/>
    <w:rsid w:val="00052EFD"/>
    <w:rsid w:val="000549EE"/>
    <w:rsid w:val="0006323E"/>
    <w:rsid w:val="00064189"/>
    <w:rsid w:val="000661E2"/>
    <w:rsid w:val="00067687"/>
    <w:rsid w:val="00075583"/>
    <w:rsid w:val="000859EA"/>
    <w:rsid w:val="00092A98"/>
    <w:rsid w:val="000A2509"/>
    <w:rsid w:val="000A2DE7"/>
    <w:rsid w:val="000B2E26"/>
    <w:rsid w:val="000C51D1"/>
    <w:rsid w:val="000C522E"/>
    <w:rsid w:val="000D6EEE"/>
    <w:rsid w:val="000D7991"/>
    <w:rsid w:val="000E01F7"/>
    <w:rsid w:val="000E182B"/>
    <w:rsid w:val="000E2197"/>
    <w:rsid w:val="000E39DA"/>
    <w:rsid w:val="000E49FB"/>
    <w:rsid w:val="000E4EB4"/>
    <w:rsid w:val="000E6777"/>
    <w:rsid w:val="000F385E"/>
    <w:rsid w:val="000F3ED5"/>
    <w:rsid w:val="00104E45"/>
    <w:rsid w:val="00106334"/>
    <w:rsid w:val="00107710"/>
    <w:rsid w:val="00110898"/>
    <w:rsid w:val="0011303D"/>
    <w:rsid w:val="00115900"/>
    <w:rsid w:val="001217A3"/>
    <w:rsid w:val="001246BC"/>
    <w:rsid w:val="001308B6"/>
    <w:rsid w:val="00130ACD"/>
    <w:rsid w:val="00140829"/>
    <w:rsid w:val="00140C15"/>
    <w:rsid w:val="001428B6"/>
    <w:rsid w:val="0014478D"/>
    <w:rsid w:val="00146F41"/>
    <w:rsid w:val="00151216"/>
    <w:rsid w:val="00154FB7"/>
    <w:rsid w:val="00160808"/>
    <w:rsid w:val="001717D3"/>
    <w:rsid w:val="0017237E"/>
    <w:rsid w:val="00192E85"/>
    <w:rsid w:val="00192EB1"/>
    <w:rsid w:val="00193AF2"/>
    <w:rsid w:val="001A01C3"/>
    <w:rsid w:val="001B073E"/>
    <w:rsid w:val="001B1891"/>
    <w:rsid w:val="001B224D"/>
    <w:rsid w:val="001B285A"/>
    <w:rsid w:val="001B46D3"/>
    <w:rsid w:val="001B57F5"/>
    <w:rsid w:val="001C03EE"/>
    <w:rsid w:val="001C2460"/>
    <w:rsid w:val="001C5A1D"/>
    <w:rsid w:val="001C65FE"/>
    <w:rsid w:val="001D18DB"/>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5020D"/>
    <w:rsid w:val="00262EE4"/>
    <w:rsid w:val="00270AEA"/>
    <w:rsid w:val="002743BD"/>
    <w:rsid w:val="00274667"/>
    <w:rsid w:val="00276844"/>
    <w:rsid w:val="00277C5A"/>
    <w:rsid w:val="00280651"/>
    <w:rsid w:val="00282BC0"/>
    <w:rsid w:val="00287A31"/>
    <w:rsid w:val="002940E2"/>
    <w:rsid w:val="0029554A"/>
    <w:rsid w:val="0029631E"/>
    <w:rsid w:val="002A7B82"/>
    <w:rsid w:val="002B4948"/>
    <w:rsid w:val="002B529C"/>
    <w:rsid w:val="002C15CB"/>
    <w:rsid w:val="002C3991"/>
    <w:rsid w:val="002C49CA"/>
    <w:rsid w:val="002C6324"/>
    <w:rsid w:val="002D32DF"/>
    <w:rsid w:val="002D55AA"/>
    <w:rsid w:val="002E01BA"/>
    <w:rsid w:val="002E16F6"/>
    <w:rsid w:val="002E22D7"/>
    <w:rsid w:val="002F2AD8"/>
    <w:rsid w:val="002F5562"/>
    <w:rsid w:val="002F6504"/>
    <w:rsid w:val="00302D3F"/>
    <w:rsid w:val="00303803"/>
    <w:rsid w:val="00305A03"/>
    <w:rsid w:val="00324E31"/>
    <w:rsid w:val="003252BF"/>
    <w:rsid w:val="0032655A"/>
    <w:rsid w:val="0033036D"/>
    <w:rsid w:val="00332C68"/>
    <w:rsid w:val="00336D2F"/>
    <w:rsid w:val="00341407"/>
    <w:rsid w:val="003423AF"/>
    <w:rsid w:val="00344985"/>
    <w:rsid w:val="00345F0E"/>
    <w:rsid w:val="00354C66"/>
    <w:rsid w:val="00361310"/>
    <w:rsid w:val="00361471"/>
    <w:rsid w:val="00362494"/>
    <w:rsid w:val="00362D05"/>
    <w:rsid w:val="003639F4"/>
    <w:rsid w:val="00363BDA"/>
    <w:rsid w:val="00364D67"/>
    <w:rsid w:val="00370639"/>
    <w:rsid w:val="00372716"/>
    <w:rsid w:val="00373BAC"/>
    <w:rsid w:val="003774DE"/>
    <w:rsid w:val="00377F83"/>
    <w:rsid w:val="00380E95"/>
    <w:rsid w:val="00382CFE"/>
    <w:rsid w:val="00386430"/>
    <w:rsid w:val="00390E9F"/>
    <w:rsid w:val="003A3A50"/>
    <w:rsid w:val="003B0BDA"/>
    <w:rsid w:val="003B4886"/>
    <w:rsid w:val="003B7229"/>
    <w:rsid w:val="003B7D3C"/>
    <w:rsid w:val="003C0F67"/>
    <w:rsid w:val="003C657B"/>
    <w:rsid w:val="003C6E6B"/>
    <w:rsid w:val="003D1837"/>
    <w:rsid w:val="003D2BB6"/>
    <w:rsid w:val="003D2CD5"/>
    <w:rsid w:val="003D386C"/>
    <w:rsid w:val="003E163D"/>
    <w:rsid w:val="003E3983"/>
    <w:rsid w:val="003F3C2F"/>
    <w:rsid w:val="003F480A"/>
    <w:rsid w:val="003F4F49"/>
    <w:rsid w:val="004026AB"/>
    <w:rsid w:val="00404B5B"/>
    <w:rsid w:val="004056A1"/>
    <w:rsid w:val="00407E4C"/>
    <w:rsid w:val="00413147"/>
    <w:rsid w:val="0042222A"/>
    <w:rsid w:val="004307FA"/>
    <w:rsid w:val="00431324"/>
    <w:rsid w:val="00433909"/>
    <w:rsid w:val="0043462D"/>
    <w:rsid w:val="00440854"/>
    <w:rsid w:val="004412D5"/>
    <w:rsid w:val="00443BEA"/>
    <w:rsid w:val="00445D99"/>
    <w:rsid w:val="00455121"/>
    <w:rsid w:val="0046129B"/>
    <w:rsid w:val="0046286C"/>
    <w:rsid w:val="0046343F"/>
    <w:rsid w:val="0046555B"/>
    <w:rsid w:val="00473026"/>
    <w:rsid w:val="00475399"/>
    <w:rsid w:val="00481DE3"/>
    <w:rsid w:val="00485F9D"/>
    <w:rsid w:val="00496A8A"/>
    <w:rsid w:val="004A33B1"/>
    <w:rsid w:val="004A3DCE"/>
    <w:rsid w:val="004A46E6"/>
    <w:rsid w:val="004A67A4"/>
    <w:rsid w:val="004A74C0"/>
    <w:rsid w:val="004B2DF6"/>
    <w:rsid w:val="004B4AC6"/>
    <w:rsid w:val="004B5477"/>
    <w:rsid w:val="004B7733"/>
    <w:rsid w:val="004B789A"/>
    <w:rsid w:val="004C0FD3"/>
    <w:rsid w:val="004C1F5A"/>
    <w:rsid w:val="004D05BE"/>
    <w:rsid w:val="004D146C"/>
    <w:rsid w:val="004D1B2E"/>
    <w:rsid w:val="004D3701"/>
    <w:rsid w:val="004D50E2"/>
    <w:rsid w:val="004D6D8C"/>
    <w:rsid w:val="004E4A56"/>
    <w:rsid w:val="004F0458"/>
    <w:rsid w:val="004F2B0E"/>
    <w:rsid w:val="004F4315"/>
    <w:rsid w:val="004F6283"/>
    <w:rsid w:val="0050401F"/>
    <w:rsid w:val="00506A24"/>
    <w:rsid w:val="005163C9"/>
    <w:rsid w:val="00517314"/>
    <w:rsid w:val="00523E37"/>
    <w:rsid w:val="00533CD1"/>
    <w:rsid w:val="00534008"/>
    <w:rsid w:val="00534BFF"/>
    <w:rsid w:val="00535657"/>
    <w:rsid w:val="00535C55"/>
    <w:rsid w:val="00535E2D"/>
    <w:rsid w:val="00537CC3"/>
    <w:rsid w:val="00540ECB"/>
    <w:rsid w:val="005525F6"/>
    <w:rsid w:val="005531CE"/>
    <w:rsid w:val="005536C4"/>
    <w:rsid w:val="00555231"/>
    <w:rsid w:val="0055599E"/>
    <w:rsid w:val="00555F13"/>
    <w:rsid w:val="005569F1"/>
    <w:rsid w:val="00557355"/>
    <w:rsid w:val="005627EE"/>
    <w:rsid w:val="00563723"/>
    <w:rsid w:val="00564459"/>
    <w:rsid w:val="00564F07"/>
    <w:rsid w:val="00566A1D"/>
    <w:rsid w:val="005738A3"/>
    <w:rsid w:val="005809FC"/>
    <w:rsid w:val="005823F1"/>
    <w:rsid w:val="005912AD"/>
    <w:rsid w:val="00596052"/>
    <w:rsid w:val="0059619C"/>
    <w:rsid w:val="005969A6"/>
    <w:rsid w:val="005A1777"/>
    <w:rsid w:val="005A3794"/>
    <w:rsid w:val="005A3F0A"/>
    <w:rsid w:val="005A4666"/>
    <w:rsid w:val="005B7396"/>
    <w:rsid w:val="005C0A88"/>
    <w:rsid w:val="005C0C17"/>
    <w:rsid w:val="005C3E58"/>
    <w:rsid w:val="005D1970"/>
    <w:rsid w:val="005D6B6C"/>
    <w:rsid w:val="005D744E"/>
    <w:rsid w:val="005E68F1"/>
    <w:rsid w:val="005F1214"/>
    <w:rsid w:val="005F2A1F"/>
    <w:rsid w:val="005F2C67"/>
    <w:rsid w:val="005F4C25"/>
    <w:rsid w:val="005F508C"/>
    <w:rsid w:val="006005E7"/>
    <w:rsid w:val="00601520"/>
    <w:rsid w:val="0060701B"/>
    <w:rsid w:val="006116CB"/>
    <w:rsid w:val="00614128"/>
    <w:rsid w:val="006147D0"/>
    <w:rsid w:val="006213B7"/>
    <w:rsid w:val="0062322A"/>
    <w:rsid w:val="00631010"/>
    <w:rsid w:val="00631860"/>
    <w:rsid w:val="006401BC"/>
    <w:rsid w:val="0064075C"/>
    <w:rsid w:val="00642221"/>
    <w:rsid w:val="00660C25"/>
    <w:rsid w:val="0066666A"/>
    <w:rsid w:val="00672273"/>
    <w:rsid w:val="006723FE"/>
    <w:rsid w:val="00674C7C"/>
    <w:rsid w:val="00681986"/>
    <w:rsid w:val="00691202"/>
    <w:rsid w:val="00691646"/>
    <w:rsid w:val="006A134F"/>
    <w:rsid w:val="006A41D3"/>
    <w:rsid w:val="006A7794"/>
    <w:rsid w:val="006B4F7D"/>
    <w:rsid w:val="006B6ABC"/>
    <w:rsid w:val="006C281D"/>
    <w:rsid w:val="006D4FCD"/>
    <w:rsid w:val="006D62FC"/>
    <w:rsid w:val="006E14BE"/>
    <w:rsid w:val="006E155A"/>
    <w:rsid w:val="006E1C96"/>
    <w:rsid w:val="006F2AA5"/>
    <w:rsid w:val="006F3F63"/>
    <w:rsid w:val="006F485A"/>
    <w:rsid w:val="006F4BB9"/>
    <w:rsid w:val="007038F3"/>
    <w:rsid w:val="00704975"/>
    <w:rsid w:val="00704E48"/>
    <w:rsid w:val="00712EB9"/>
    <w:rsid w:val="0071576E"/>
    <w:rsid w:val="00715F66"/>
    <w:rsid w:val="00717D74"/>
    <w:rsid w:val="00721EA5"/>
    <w:rsid w:val="00722EAF"/>
    <w:rsid w:val="00723A2C"/>
    <w:rsid w:val="00734005"/>
    <w:rsid w:val="00736B6A"/>
    <w:rsid w:val="0074544A"/>
    <w:rsid w:val="00750A6C"/>
    <w:rsid w:val="007536EE"/>
    <w:rsid w:val="00753F37"/>
    <w:rsid w:val="00755402"/>
    <w:rsid w:val="00755714"/>
    <w:rsid w:val="007558E7"/>
    <w:rsid w:val="00756824"/>
    <w:rsid w:val="007633B1"/>
    <w:rsid w:val="007704A3"/>
    <w:rsid w:val="007725A4"/>
    <w:rsid w:val="00777282"/>
    <w:rsid w:val="00780EDD"/>
    <w:rsid w:val="007824B7"/>
    <w:rsid w:val="00782A85"/>
    <w:rsid w:val="00782D96"/>
    <w:rsid w:val="007948CD"/>
    <w:rsid w:val="00797FA4"/>
    <w:rsid w:val="007B177D"/>
    <w:rsid w:val="007B3FFE"/>
    <w:rsid w:val="007C77DB"/>
    <w:rsid w:val="007D03AC"/>
    <w:rsid w:val="007D14F1"/>
    <w:rsid w:val="007D35EF"/>
    <w:rsid w:val="007D3BE0"/>
    <w:rsid w:val="007E1173"/>
    <w:rsid w:val="007E4EA2"/>
    <w:rsid w:val="007E54AB"/>
    <w:rsid w:val="007F2BDC"/>
    <w:rsid w:val="007F3640"/>
    <w:rsid w:val="007F6AD4"/>
    <w:rsid w:val="007F7C37"/>
    <w:rsid w:val="00800DF8"/>
    <w:rsid w:val="00804F13"/>
    <w:rsid w:val="008063ED"/>
    <w:rsid w:val="008175CE"/>
    <w:rsid w:val="00820195"/>
    <w:rsid w:val="008227B3"/>
    <w:rsid w:val="00825226"/>
    <w:rsid w:val="008262A2"/>
    <w:rsid w:val="00840BF0"/>
    <w:rsid w:val="0084522B"/>
    <w:rsid w:val="008470A8"/>
    <w:rsid w:val="00855383"/>
    <w:rsid w:val="00864A37"/>
    <w:rsid w:val="00872E07"/>
    <w:rsid w:val="0088092B"/>
    <w:rsid w:val="0088310A"/>
    <w:rsid w:val="008846C5"/>
    <w:rsid w:val="00886983"/>
    <w:rsid w:val="00890D96"/>
    <w:rsid w:val="00897107"/>
    <w:rsid w:val="008B1E35"/>
    <w:rsid w:val="008B30CA"/>
    <w:rsid w:val="008B4B9F"/>
    <w:rsid w:val="008C3F1B"/>
    <w:rsid w:val="008D11FE"/>
    <w:rsid w:val="008D1520"/>
    <w:rsid w:val="008D3253"/>
    <w:rsid w:val="008D5D59"/>
    <w:rsid w:val="008F0871"/>
    <w:rsid w:val="008F12F5"/>
    <w:rsid w:val="008F170D"/>
    <w:rsid w:val="009000D4"/>
    <w:rsid w:val="009002C3"/>
    <w:rsid w:val="0090054E"/>
    <w:rsid w:val="00901719"/>
    <w:rsid w:val="00901D6D"/>
    <w:rsid w:val="0091359A"/>
    <w:rsid w:val="0091455B"/>
    <w:rsid w:val="00914B70"/>
    <w:rsid w:val="009168B0"/>
    <w:rsid w:val="00920A31"/>
    <w:rsid w:val="009223D8"/>
    <w:rsid w:val="00925683"/>
    <w:rsid w:val="009463BF"/>
    <w:rsid w:val="00954580"/>
    <w:rsid w:val="00957D6E"/>
    <w:rsid w:val="00966C18"/>
    <w:rsid w:val="00967A31"/>
    <w:rsid w:val="00970186"/>
    <w:rsid w:val="0097260D"/>
    <w:rsid w:val="00975EFA"/>
    <w:rsid w:val="00980A32"/>
    <w:rsid w:val="009810E4"/>
    <w:rsid w:val="0098662D"/>
    <w:rsid w:val="009C0453"/>
    <w:rsid w:val="009C1E9E"/>
    <w:rsid w:val="009C4A51"/>
    <w:rsid w:val="009D34C1"/>
    <w:rsid w:val="009E3BBB"/>
    <w:rsid w:val="009E67CC"/>
    <w:rsid w:val="009F29B9"/>
    <w:rsid w:val="009F46FB"/>
    <w:rsid w:val="00A0061F"/>
    <w:rsid w:val="00A05C80"/>
    <w:rsid w:val="00A064F0"/>
    <w:rsid w:val="00A1499D"/>
    <w:rsid w:val="00A23284"/>
    <w:rsid w:val="00A23C0F"/>
    <w:rsid w:val="00A252E0"/>
    <w:rsid w:val="00A268C2"/>
    <w:rsid w:val="00A26E68"/>
    <w:rsid w:val="00A2735B"/>
    <w:rsid w:val="00A336CB"/>
    <w:rsid w:val="00A3724B"/>
    <w:rsid w:val="00A37BC4"/>
    <w:rsid w:val="00A40410"/>
    <w:rsid w:val="00A44E25"/>
    <w:rsid w:val="00A455B4"/>
    <w:rsid w:val="00A472CB"/>
    <w:rsid w:val="00A50B87"/>
    <w:rsid w:val="00A5147A"/>
    <w:rsid w:val="00A57789"/>
    <w:rsid w:val="00A672B7"/>
    <w:rsid w:val="00A71346"/>
    <w:rsid w:val="00A75C13"/>
    <w:rsid w:val="00A76004"/>
    <w:rsid w:val="00A93D85"/>
    <w:rsid w:val="00A9705D"/>
    <w:rsid w:val="00A97699"/>
    <w:rsid w:val="00AA69AF"/>
    <w:rsid w:val="00AA6DBE"/>
    <w:rsid w:val="00AC06E5"/>
    <w:rsid w:val="00AC34B0"/>
    <w:rsid w:val="00AD003C"/>
    <w:rsid w:val="00AD5131"/>
    <w:rsid w:val="00AD5FD5"/>
    <w:rsid w:val="00AE6167"/>
    <w:rsid w:val="00AF0B88"/>
    <w:rsid w:val="00AF0E1F"/>
    <w:rsid w:val="00AF3163"/>
    <w:rsid w:val="00AF3343"/>
    <w:rsid w:val="00AF4188"/>
    <w:rsid w:val="00AF7EDC"/>
    <w:rsid w:val="00B02627"/>
    <w:rsid w:val="00B0343F"/>
    <w:rsid w:val="00B04930"/>
    <w:rsid w:val="00B1249D"/>
    <w:rsid w:val="00B12AE1"/>
    <w:rsid w:val="00B15131"/>
    <w:rsid w:val="00B1524B"/>
    <w:rsid w:val="00B238E3"/>
    <w:rsid w:val="00B30986"/>
    <w:rsid w:val="00B30BB3"/>
    <w:rsid w:val="00B42CFD"/>
    <w:rsid w:val="00B4402C"/>
    <w:rsid w:val="00B52AB8"/>
    <w:rsid w:val="00B53941"/>
    <w:rsid w:val="00B7283B"/>
    <w:rsid w:val="00B73204"/>
    <w:rsid w:val="00B746C1"/>
    <w:rsid w:val="00B822B5"/>
    <w:rsid w:val="00B83E8F"/>
    <w:rsid w:val="00B85550"/>
    <w:rsid w:val="00B855B9"/>
    <w:rsid w:val="00B946BE"/>
    <w:rsid w:val="00B96A69"/>
    <w:rsid w:val="00B96EFE"/>
    <w:rsid w:val="00B97F64"/>
    <w:rsid w:val="00BA610B"/>
    <w:rsid w:val="00BA65E7"/>
    <w:rsid w:val="00BA70EC"/>
    <w:rsid w:val="00BB04ED"/>
    <w:rsid w:val="00BB247B"/>
    <w:rsid w:val="00BB2FD6"/>
    <w:rsid w:val="00BB512C"/>
    <w:rsid w:val="00BB75C2"/>
    <w:rsid w:val="00BB78F6"/>
    <w:rsid w:val="00BC3C3D"/>
    <w:rsid w:val="00BD1F75"/>
    <w:rsid w:val="00BD466F"/>
    <w:rsid w:val="00BD6F6A"/>
    <w:rsid w:val="00BE0077"/>
    <w:rsid w:val="00BE62C6"/>
    <w:rsid w:val="00BE6C82"/>
    <w:rsid w:val="00BE7020"/>
    <w:rsid w:val="00BF355F"/>
    <w:rsid w:val="00BF4BB2"/>
    <w:rsid w:val="00BF4C96"/>
    <w:rsid w:val="00C01CCC"/>
    <w:rsid w:val="00C02F55"/>
    <w:rsid w:val="00C100F0"/>
    <w:rsid w:val="00C11075"/>
    <w:rsid w:val="00C11B6B"/>
    <w:rsid w:val="00C13906"/>
    <w:rsid w:val="00C153BF"/>
    <w:rsid w:val="00C17428"/>
    <w:rsid w:val="00C21322"/>
    <w:rsid w:val="00C27A32"/>
    <w:rsid w:val="00C30FEF"/>
    <w:rsid w:val="00C34F0C"/>
    <w:rsid w:val="00C35653"/>
    <w:rsid w:val="00C376CF"/>
    <w:rsid w:val="00C4092F"/>
    <w:rsid w:val="00C4262C"/>
    <w:rsid w:val="00C50326"/>
    <w:rsid w:val="00C51EF3"/>
    <w:rsid w:val="00C5288A"/>
    <w:rsid w:val="00C54208"/>
    <w:rsid w:val="00C614B3"/>
    <w:rsid w:val="00C678A9"/>
    <w:rsid w:val="00C71BD5"/>
    <w:rsid w:val="00C77B68"/>
    <w:rsid w:val="00C82D17"/>
    <w:rsid w:val="00C85D7C"/>
    <w:rsid w:val="00C86350"/>
    <w:rsid w:val="00C8770F"/>
    <w:rsid w:val="00C95127"/>
    <w:rsid w:val="00C963A6"/>
    <w:rsid w:val="00CA16B4"/>
    <w:rsid w:val="00CA2E99"/>
    <w:rsid w:val="00CA5390"/>
    <w:rsid w:val="00CA71F2"/>
    <w:rsid w:val="00CB7188"/>
    <w:rsid w:val="00CC045A"/>
    <w:rsid w:val="00CC3100"/>
    <w:rsid w:val="00CC5B03"/>
    <w:rsid w:val="00CC5CF4"/>
    <w:rsid w:val="00CE045D"/>
    <w:rsid w:val="00CE1D9A"/>
    <w:rsid w:val="00CE2FD4"/>
    <w:rsid w:val="00CE4D59"/>
    <w:rsid w:val="00CE630E"/>
    <w:rsid w:val="00CF7DCF"/>
    <w:rsid w:val="00D00990"/>
    <w:rsid w:val="00D06DDC"/>
    <w:rsid w:val="00D070E9"/>
    <w:rsid w:val="00D1316B"/>
    <w:rsid w:val="00D14FF2"/>
    <w:rsid w:val="00D222C5"/>
    <w:rsid w:val="00D255E2"/>
    <w:rsid w:val="00D25CFC"/>
    <w:rsid w:val="00D33647"/>
    <w:rsid w:val="00D47BAF"/>
    <w:rsid w:val="00D55760"/>
    <w:rsid w:val="00D57E31"/>
    <w:rsid w:val="00D618FB"/>
    <w:rsid w:val="00D641BE"/>
    <w:rsid w:val="00D66973"/>
    <w:rsid w:val="00D67631"/>
    <w:rsid w:val="00D80A7A"/>
    <w:rsid w:val="00D85543"/>
    <w:rsid w:val="00D95312"/>
    <w:rsid w:val="00D9535A"/>
    <w:rsid w:val="00DA1BDC"/>
    <w:rsid w:val="00DA1D36"/>
    <w:rsid w:val="00DA4B8E"/>
    <w:rsid w:val="00DA7F01"/>
    <w:rsid w:val="00DB11E2"/>
    <w:rsid w:val="00DB11FD"/>
    <w:rsid w:val="00DB410A"/>
    <w:rsid w:val="00DB73FB"/>
    <w:rsid w:val="00DC026B"/>
    <w:rsid w:val="00DC2D08"/>
    <w:rsid w:val="00DC55E7"/>
    <w:rsid w:val="00DD4A5D"/>
    <w:rsid w:val="00DD5C8D"/>
    <w:rsid w:val="00DE0C35"/>
    <w:rsid w:val="00DE19C0"/>
    <w:rsid w:val="00DE1EA5"/>
    <w:rsid w:val="00DE1EF6"/>
    <w:rsid w:val="00DE752E"/>
    <w:rsid w:val="00DE7DCF"/>
    <w:rsid w:val="00DF186D"/>
    <w:rsid w:val="00DF2409"/>
    <w:rsid w:val="00DF400D"/>
    <w:rsid w:val="00DF65B5"/>
    <w:rsid w:val="00E0008D"/>
    <w:rsid w:val="00E01FC6"/>
    <w:rsid w:val="00E12AC5"/>
    <w:rsid w:val="00E131EE"/>
    <w:rsid w:val="00E13D87"/>
    <w:rsid w:val="00E14295"/>
    <w:rsid w:val="00E43AFA"/>
    <w:rsid w:val="00E45C44"/>
    <w:rsid w:val="00E466E5"/>
    <w:rsid w:val="00E477E9"/>
    <w:rsid w:val="00E5488D"/>
    <w:rsid w:val="00E660C0"/>
    <w:rsid w:val="00E67B9C"/>
    <w:rsid w:val="00E72590"/>
    <w:rsid w:val="00E739E3"/>
    <w:rsid w:val="00E74A7E"/>
    <w:rsid w:val="00E77594"/>
    <w:rsid w:val="00E81C5D"/>
    <w:rsid w:val="00E92371"/>
    <w:rsid w:val="00E93B02"/>
    <w:rsid w:val="00EA48B3"/>
    <w:rsid w:val="00EA54DA"/>
    <w:rsid w:val="00EB4366"/>
    <w:rsid w:val="00EC0FBD"/>
    <w:rsid w:val="00EC418E"/>
    <w:rsid w:val="00EC7735"/>
    <w:rsid w:val="00ED09DB"/>
    <w:rsid w:val="00ED0E02"/>
    <w:rsid w:val="00ED1441"/>
    <w:rsid w:val="00ED3E58"/>
    <w:rsid w:val="00EE0EF1"/>
    <w:rsid w:val="00EE3065"/>
    <w:rsid w:val="00EE5813"/>
    <w:rsid w:val="00EE7019"/>
    <w:rsid w:val="00EF2C53"/>
    <w:rsid w:val="00EF3B41"/>
    <w:rsid w:val="00EF41AA"/>
    <w:rsid w:val="00EF57F7"/>
    <w:rsid w:val="00EF6203"/>
    <w:rsid w:val="00EF6EF0"/>
    <w:rsid w:val="00F01180"/>
    <w:rsid w:val="00F01751"/>
    <w:rsid w:val="00F02EB1"/>
    <w:rsid w:val="00F03472"/>
    <w:rsid w:val="00F0519D"/>
    <w:rsid w:val="00F05E4A"/>
    <w:rsid w:val="00F063F2"/>
    <w:rsid w:val="00F068DF"/>
    <w:rsid w:val="00F071C1"/>
    <w:rsid w:val="00F107DD"/>
    <w:rsid w:val="00F34DD9"/>
    <w:rsid w:val="00F362DE"/>
    <w:rsid w:val="00F40442"/>
    <w:rsid w:val="00F415B5"/>
    <w:rsid w:val="00F41769"/>
    <w:rsid w:val="00F423A3"/>
    <w:rsid w:val="00F447CE"/>
    <w:rsid w:val="00F45F59"/>
    <w:rsid w:val="00F51B8E"/>
    <w:rsid w:val="00F541B6"/>
    <w:rsid w:val="00F633CB"/>
    <w:rsid w:val="00F67775"/>
    <w:rsid w:val="00F73329"/>
    <w:rsid w:val="00F77193"/>
    <w:rsid w:val="00F77A06"/>
    <w:rsid w:val="00F83A40"/>
    <w:rsid w:val="00F87EE6"/>
    <w:rsid w:val="00F93C33"/>
    <w:rsid w:val="00F9462A"/>
    <w:rsid w:val="00F94AF4"/>
    <w:rsid w:val="00F96447"/>
    <w:rsid w:val="00FA05BA"/>
    <w:rsid w:val="00FA09AD"/>
    <w:rsid w:val="00FA3655"/>
    <w:rsid w:val="00FB01A3"/>
    <w:rsid w:val="00FB2A45"/>
    <w:rsid w:val="00FB543B"/>
    <w:rsid w:val="00FB6A94"/>
    <w:rsid w:val="00FC0EF6"/>
    <w:rsid w:val="00FC3CE7"/>
    <w:rsid w:val="00FD3339"/>
    <w:rsid w:val="00FD4D9A"/>
    <w:rsid w:val="00FD6718"/>
    <w:rsid w:val="00FE5668"/>
    <w:rsid w:val="00FE5E6A"/>
    <w:rsid w:val="00FF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E67B-5C68-4E21-B2DB-5808401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2</cp:revision>
  <cp:lastPrinted>2014-10-31T09:20:00Z</cp:lastPrinted>
  <dcterms:created xsi:type="dcterms:W3CDTF">2016-06-21T10:43:00Z</dcterms:created>
  <dcterms:modified xsi:type="dcterms:W3CDTF">2016-06-21T10:43:00Z</dcterms:modified>
</cp:coreProperties>
</file>