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5CC" w:rsidRDefault="00FC25CC" w:rsidP="003C6A73">
      <w:pPr>
        <w:pStyle w:val="Default"/>
      </w:pPr>
    </w:p>
    <w:p w:rsidR="00FC25CC" w:rsidRPr="00F77C66" w:rsidRDefault="00FC25CC" w:rsidP="00FC25CC">
      <w:pPr>
        <w:rPr>
          <w:rFonts w:ascii="Arial" w:hAnsi="Arial" w:cs="Arial"/>
        </w:rPr>
      </w:pPr>
    </w:p>
    <w:p w:rsidR="00FC25CC" w:rsidRPr="00F77C66" w:rsidRDefault="00FC25CC" w:rsidP="00FC25CC">
      <w:pPr>
        <w:rPr>
          <w:rFonts w:ascii="Arial" w:hAnsi="Arial" w:cs="Arial"/>
        </w:rPr>
      </w:pPr>
      <w:r w:rsidRPr="00F77C66">
        <w:rPr>
          <w:rFonts w:ascii="Arial" w:eastAsia="Calibri" w:hAnsi="Arial" w:cs="Arial"/>
          <w:b/>
          <w:noProof/>
          <w:sz w:val="28"/>
          <w:szCs w:val="28"/>
          <w:lang w:eastAsia="en-GB"/>
        </w:rPr>
        <w:drawing>
          <wp:anchor distT="0" distB="0" distL="114300" distR="114300" simplePos="0" relativeHeight="251659264" behindDoc="1" locked="0" layoutInCell="1" allowOverlap="1" wp14:anchorId="2174DA65" wp14:editId="1AEB2158">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C25CC" w:rsidRPr="00F77C66" w:rsidRDefault="00FC25CC" w:rsidP="00FC25CC">
      <w:pPr>
        <w:rPr>
          <w:rFonts w:ascii="Arial" w:hAnsi="Arial" w:cs="Arial"/>
        </w:rPr>
      </w:pPr>
    </w:p>
    <w:p w:rsidR="00FC25CC" w:rsidRPr="00F77C66" w:rsidRDefault="00FC25CC" w:rsidP="00FC25CC">
      <w:pPr>
        <w:rPr>
          <w:rFonts w:ascii="Arial" w:hAnsi="Arial" w:cs="Arial"/>
        </w:rPr>
      </w:pPr>
    </w:p>
    <w:p w:rsidR="00FC25CC" w:rsidRPr="00F77C66" w:rsidRDefault="00FC25CC" w:rsidP="00FC25CC">
      <w:pPr>
        <w:rPr>
          <w:rFonts w:ascii="Arial" w:hAnsi="Arial" w:cs="Arial"/>
        </w:rPr>
      </w:pPr>
    </w:p>
    <w:p w:rsidR="00FC25CC" w:rsidRPr="00F77C66" w:rsidRDefault="00FC25CC" w:rsidP="00FC25CC">
      <w:pPr>
        <w:rPr>
          <w:rFonts w:ascii="Arial" w:hAnsi="Arial" w:cs="Arial"/>
        </w:rPr>
      </w:pPr>
    </w:p>
    <w:p w:rsidR="00FC25CC" w:rsidRPr="00F77C66" w:rsidRDefault="00FC25CC" w:rsidP="00FC25CC">
      <w:pPr>
        <w:rPr>
          <w:rFonts w:ascii="Arial" w:hAnsi="Arial" w:cs="Arial"/>
        </w:rPr>
      </w:pPr>
    </w:p>
    <w:p w:rsidR="00FC25CC" w:rsidRPr="00F77C66" w:rsidRDefault="00FC25CC" w:rsidP="00FC25CC">
      <w:pPr>
        <w:rPr>
          <w:rFonts w:ascii="Arial" w:hAnsi="Arial" w:cs="Arial"/>
        </w:rPr>
      </w:pPr>
    </w:p>
    <w:p w:rsidR="00FC25CC" w:rsidRPr="00F77C66" w:rsidRDefault="00FC25CC" w:rsidP="00FC25CC">
      <w:pPr>
        <w:rPr>
          <w:rFonts w:ascii="Arial" w:hAnsi="Arial" w:cs="Arial"/>
        </w:rPr>
      </w:pPr>
    </w:p>
    <w:tbl>
      <w:tblPr>
        <w:tblStyle w:val="TableGrid"/>
        <w:tblW w:w="0" w:type="auto"/>
        <w:tblLook w:val="04A0" w:firstRow="1" w:lastRow="0" w:firstColumn="1" w:lastColumn="0" w:noHBand="0" w:noVBand="1"/>
      </w:tblPr>
      <w:tblGrid>
        <w:gridCol w:w="4528"/>
        <w:gridCol w:w="4498"/>
      </w:tblGrid>
      <w:tr w:rsidR="00FC25CC" w:rsidRPr="00F77C66" w:rsidTr="0009527D">
        <w:tc>
          <w:tcPr>
            <w:tcW w:w="4621" w:type="dxa"/>
            <w:tcBorders>
              <w:top w:val="nil"/>
              <w:left w:val="nil"/>
              <w:bottom w:val="nil"/>
              <w:right w:val="nil"/>
            </w:tcBorders>
          </w:tcPr>
          <w:p w:rsidR="00FC25CC" w:rsidRPr="00F77C66" w:rsidRDefault="00FC25CC" w:rsidP="0009527D">
            <w:pPr>
              <w:rPr>
                <w:rFonts w:ascii="Arial" w:eastAsiaTheme="majorEastAsia" w:hAnsi="Arial" w:cs="Arial"/>
                <w:b/>
                <w:sz w:val="32"/>
                <w:lang w:eastAsia="en-US"/>
              </w:rPr>
            </w:pPr>
            <w:r w:rsidRPr="00F77C66">
              <w:rPr>
                <w:rFonts w:ascii="Arial" w:eastAsiaTheme="majorEastAsia" w:hAnsi="Arial" w:cs="Arial"/>
                <w:b/>
                <w:sz w:val="32"/>
                <w:lang w:eastAsia="en-US"/>
              </w:rPr>
              <w:t>Assessment Strategy</w:t>
            </w:r>
          </w:p>
        </w:tc>
        <w:tc>
          <w:tcPr>
            <w:tcW w:w="4621" w:type="dxa"/>
            <w:tcBorders>
              <w:top w:val="nil"/>
              <w:left w:val="nil"/>
              <w:bottom w:val="nil"/>
              <w:right w:val="nil"/>
            </w:tcBorders>
          </w:tcPr>
          <w:p w:rsidR="00FC25CC" w:rsidRPr="00F77C66" w:rsidRDefault="00FC25CC" w:rsidP="0009527D">
            <w:pPr>
              <w:rPr>
                <w:rFonts w:ascii="Arial" w:hAnsi="Arial" w:cs="Arial"/>
              </w:rPr>
            </w:pPr>
          </w:p>
        </w:tc>
      </w:tr>
      <w:tr w:rsidR="00FC25CC" w:rsidRPr="00F77C66" w:rsidTr="0009527D">
        <w:tc>
          <w:tcPr>
            <w:tcW w:w="4621" w:type="dxa"/>
            <w:tcBorders>
              <w:top w:val="nil"/>
              <w:left w:val="nil"/>
              <w:bottom w:val="nil"/>
              <w:right w:val="nil"/>
            </w:tcBorders>
          </w:tcPr>
          <w:p w:rsidR="00FC25CC" w:rsidRPr="00F77C66" w:rsidRDefault="00FC25CC" w:rsidP="0009527D">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621" w:type="dxa"/>
            <w:tcBorders>
              <w:top w:val="nil"/>
              <w:left w:val="nil"/>
              <w:bottom w:val="nil"/>
              <w:right w:val="nil"/>
            </w:tcBorders>
          </w:tcPr>
          <w:p w:rsidR="00FC25CC" w:rsidRPr="00F77C66" w:rsidRDefault="00860072" w:rsidP="0009527D">
            <w:pPr>
              <w:rPr>
                <w:rFonts w:ascii="Arial" w:hAnsi="Arial" w:cs="Arial"/>
              </w:rPr>
            </w:pPr>
            <w:r>
              <w:rPr>
                <w:rFonts w:ascii="Arial" w:hAnsi="Arial" w:cs="Arial"/>
              </w:rPr>
              <w:t>Scientific, Technical and Formulation Processing</w:t>
            </w:r>
            <w:bookmarkStart w:id="0" w:name="_GoBack"/>
            <w:bookmarkEnd w:id="0"/>
          </w:p>
        </w:tc>
      </w:tr>
      <w:tr w:rsidR="00FC25CC" w:rsidRPr="00F77C66" w:rsidTr="0009527D">
        <w:tc>
          <w:tcPr>
            <w:tcW w:w="4621" w:type="dxa"/>
            <w:tcBorders>
              <w:top w:val="nil"/>
              <w:left w:val="nil"/>
              <w:bottom w:val="nil"/>
              <w:right w:val="nil"/>
            </w:tcBorders>
          </w:tcPr>
          <w:p w:rsidR="00FC25CC" w:rsidRPr="00F77C66" w:rsidRDefault="00FC25CC" w:rsidP="0009527D">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621" w:type="dxa"/>
            <w:tcBorders>
              <w:top w:val="nil"/>
              <w:left w:val="nil"/>
              <w:bottom w:val="nil"/>
              <w:right w:val="nil"/>
            </w:tcBorders>
          </w:tcPr>
          <w:p w:rsidR="00FC25CC" w:rsidRPr="00F77C66" w:rsidRDefault="00743DEF" w:rsidP="00743DEF">
            <w:pPr>
              <w:rPr>
                <w:rFonts w:ascii="Arial" w:hAnsi="Arial" w:cs="Arial"/>
              </w:rPr>
            </w:pPr>
            <w:r>
              <w:rPr>
                <w:rFonts w:ascii="Arial" w:hAnsi="Arial" w:cs="Arial"/>
              </w:rPr>
              <w:t>SVQ Scientific, Technical and Formulation Processing at SCQF Level 5</w:t>
            </w:r>
          </w:p>
        </w:tc>
      </w:tr>
      <w:tr w:rsidR="00FC25CC" w:rsidRPr="00F77C66" w:rsidTr="0009527D">
        <w:tc>
          <w:tcPr>
            <w:tcW w:w="4621" w:type="dxa"/>
            <w:tcBorders>
              <w:top w:val="nil"/>
              <w:left w:val="nil"/>
              <w:bottom w:val="nil"/>
              <w:right w:val="nil"/>
            </w:tcBorders>
          </w:tcPr>
          <w:p w:rsidR="00FC25CC" w:rsidRPr="00F77C66" w:rsidRDefault="00FC25CC" w:rsidP="0009527D">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621" w:type="dxa"/>
            <w:tcBorders>
              <w:top w:val="nil"/>
              <w:left w:val="nil"/>
              <w:bottom w:val="nil"/>
              <w:right w:val="nil"/>
            </w:tcBorders>
          </w:tcPr>
          <w:p w:rsidR="00FC25CC" w:rsidRPr="00F77C66" w:rsidRDefault="00743DEF" w:rsidP="0009527D">
            <w:pPr>
              <w:rPr>
                <w:rFonts w:ascii="Arial" w:hAnsi="Arial" w:cs="Arial"/>
              </w:rPr>
            </w:pPr>
            <w:r>
              <w:rPr>
                <w:rFonts w:ascii="Arial" w:hAnsi="Arial" w:cs="Arial"/>
              </w:rPr>
              <w:t>SEMTA</w:t>
            </w:r>
          </w:p>
        </w:tc>
      </w:tr>
      <w:tr w:rsidR="00FC25CC" w:rsidRPr="00F77C66" w:rsidTr="0009527D">
        <w:tc>
          <w:tcPr>
            <w:tcW w:w="4621" w:type="dxa"/>
            <w:tcBorders>
              <w:top w:val="nil"/>
              <w:left w:val="nil"/>
              <w:bottom w:val="nil"/>
              <w:right w:val="nil"/>
            </w:tcBorders>
          </w:tcPr>
          <w:p w:rsidR="00FC25CC" w:rsidRPr="00F77C66" w:rsidRDefault="00FC25CC" w:rsidP="0009527D">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621" w:type="dxa"/>
            <w:tcBorders>
              <w:top w:val="nil"/>
              <w:left w:val="nil"/>
              <w:bottom w:val="nil"/>
              <w:right w:val="nil"/>
            </w:tcBorders>
          </w:tcPr>
          <w:p w:rsidR="00FC25CC" w:rsidRPr="00F77C66" w:rsidRDefault="00743DEF" w:rsidP="00743DEF">
            <w:pPr>
              <w:rPr>
                <w:rFonts w:ascii="Arial" w:hAnsi="Arial" w:cs="Arial"/>
              </w:rPr>
            </w:pPr>
            <w:r>
              <w:rPr>
                <w:rFonts w:ascii="Arial" w:hAnsi="Arial" w:cs="Arial"/>
              </w:rPr>
              <w:t>14 February 2018</w:t>
            </w:r>
          </w:p>
        </w:tc>
      </w:tr>
      <w:tr w:rsidR="00FC25CC" w:rsidRPr="00F77C66" w:rsidTr="0009527D">
        <w:trPr>
          <w:trHeight w:val="160"/>
        </w:trPr>
        <w:tc>
          <w:tcPr>
            <w:tcW w:w="4621" w:type="dxa"/>
            <w:tcBorders>
              <w:top w:val="nil"/>
              <w:left w:val="nil"/>
              <w:bottom w:val="nil"/>
              <w:right w:val="nil"/>
            </w:tcBorders>
          </w:tcPr>
          <w:p w:rsidR="00FC25CC" w:rsidRPr="00F77C66" w:rsidRDefault="00FC25CC" w:rsidP="0009527D">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621" w:type="dxa"/>
            <w:tcBorders>
              <w:top w:val="nil"/>
              <w:left w:val="nil"/>
              <w:bottom w:val="nil"/>
              <w:right w:val="nil"/>
            </w:tcBorders>
          </w:tcPr>
          <w:p w:rsidR="00FC25CC" w:rsidRPr="00F77C66" w:rsidRDefault="00743DEF" w:rsidP="0009527D">
            <w:pPr>
              <w:rPr>
                <w:rFonts w:ascii="Arial" w:hAnsi="Arial" w:cs="Arial"/>
              </w:rPr>
            </w:pPr>
            <w:r>
              <w:rPr>
                <w:rFonts w:ascii="Arial" w:hAnsi="Arial" w:cs="Arial"/>
              </w:rPr>
              <w:t>1</w:t>
            </w:r>
          </w:p>
        </w:tc>
      </w:tr>
    </w:tbl>
    <w:p w:rsidR="00FC25CC" w:rsidRPr="00F77C66" w:rsidRDefault="00FC25CC" w:rsidP="00FC25CC">
      <w:pPr>
        <w:rPr>
          <w:rFonts w:ascii="Arial" w:hAnsi="Arial" w:cs="Arial"/>
        </w:rPr>
      </w:pPr>
    </w:p>
    <w:p w:rsidR="00FC25CC" w:rsidRPr="00F77C66" w:rsidRDefault="00FC25CC" w:rsidP="00FC25CC">
      <w:pPr>
        <w:rPr>
          <w:rFonts w:ascii="Arial" w:hAnsi="Arial" w:cs="Arial"/>
        </w:rPr>
      </w:pPr>
    </w:p>
    <w:p w:rsidR="00FC25CC" w:rsidRDefault="00FC25CC">
      <w:pPr>
        <w:rPr>
          <w:rFonts w:ascii="Arial" w:hAnsi="Arial" w:cs="Arial"/>
          <w:color w:val="000000"/>
          <w:sz w:val="24"/>
          <w:szCs w:val="24"/>
        </w:rPr>
      </w:pPr>
      <w:r>
        <w:br w:type="page"/>
      </w:r>
    </w:p>
    <w:p w:rsidR="003C6A73" w:rsidRDefault="003C6A73" w:rsidP="003C6A73">
      <w:pPr>
        <w:pStyle w:val="Default"/>
      </w:pPr>
    </w:p>
    <w:p w:rsidR="00C00079" w:rsidRDefault="00C00079" w:rsidP="003C6A73">
      <w:pPr>
        <w:pStyle w:val="Default"/>
      </w:pPr>
    </w:p>
    <w:p w:rsidR="00C00079" w:rsidRDefault="00C00079" w:rsidP="003C6A73">
      <w:pPr>
        <w:pStyle w:val="Default"/>
      </w:pPr>
    </w:p>
    <w:p w:rsidR="003C6A73" w:rsidRDefault="003C6A73" w:rsidP="003C6A73">
      <w:pPr>
        <w:pStyle w:val="Default"/>
        <w:rPr>
          <w:sz w:val="48"/>
          <w:szCs w:val="48"/>
        </w:rPr>
      </w:pPr>
      <w:r>
        <w:t xml:space="preserve"> </w:t>
      </w:r>
      <w:proofErr w:type="spellStart"/>
      <w:r>
        <w:rPr>
          <w:b/>
          <w:bCs/>
          <w:sz w:val="48"/>
          <w:szCs w:val="48"/>
        </w:rPr>
        <w:t>Semta</w:t>
      </w:r>
      <w:proofErr w:type="spellEnd"/>
      <w:r>
        <w:rPr>
          <w:b/>
          <w:bCs/>
          <w:sz w:val="48"/>
          <w:szCs w:val="48"/>
        </w:rPr>
        <w:t xml:space="preserve"> </w:t>
      </w:r>
    </w:p>
    <w:p w:rsidR="003C6A73" w:rsidRDefault="003C6A73" w:rsidP="003C6A73">
      <w:pPr>
        <w:pStyle w:val="Default"/>
        <w:rPr>
          <w:sz w:val="44"/>
          <w:szCs w:val="44"/>
        </w:rPr>
      </w:pPr>
      <w:r>
        <w:rPr>
          <w:b/>
          <w:bCs/>
          <w:sz w:val="44"/>
          <w:szCs w:val="44"/>
        </w:rPr>
        <w:t xml:space="preserve">Assessment Strategy </w:t>
      </w:r>
    </w:p>
    <w:p w:rsidR="00EE61E7" w:rsidRDefault="003C6A73" w:rsidP="003C6A73">
      <w:pPr>
        <w:rPr>
          <w:b/>
          <w:bCs/>
          <w:sz w:val="44"/>
          <w:szCs w:val="44"/>
        </w:rPr>
      </w:pPr>
      <w:r>
        <w:rPr>
          <w:b/>
          <w:bCs/>
          <w:sz w:val="44"/>
          <w:szCs w:val="44"/>
        </w:rPr>
        <w:t>SVQs in Scientific, Technical, Formulation Processing</w:t>
      </w:r>
    </w:p>
    <w:p w:rsidR="003C6A73" w:rsidRDefault="003C6A73" w:rsidP="003C6A73">
      <w:pPr>
        <w:rPr>
          <w:b/>
          <w:bCs/>
          <w:sz w:val="44"/>
          <w:szCs w:val="44"/>
        </w:rPr>
      </w:pPr>
    </w:p>
    <w:p w:rsidR="003C6A73" w:rsidRDefault="003C6A73" w:rsidP="003C6A73">
      <w:pPr>
        <w:rPr>
          <w:b/>
          <w:bCs/>
        </w:rPr>
      </w:pPr>
    </w:p>
    <w:p w:rsidR="003C6A73" w:rsidRDefault="003C6A73" w:rsidP="003C6A73">
      <w:pPr>
        <w:rPr>
          <w:b/>
          <w:bCs/>
        </w:rPr>
      </w:pPr>
    </w:p>
    <w:p w:rsidR="003C6A73" w:rsidRDefault="003C6A73" w:rsidP="003C6A73">
      <w:pPr>
        <w:rPr>
          <w:b/>
          <w:bCs/>
        </w:rPr>
      </w:pPr>
    </w:p>
    <w:p w:rsidR="003C6A73" w:rsidRDefault="003C6A73" w:rsidP="003C6A73">
      <w:pPr>
        <w:rPr>
          <w:b/>
          <w:bCs/>
        </w:rPr>
      </w:pPr>
    </w:p>
    <w:p w:rsidR="003C6A73" w:rsidRDefault="003C6A73" w:rsidP="003C6A73">
      <w:pPr>
        <w:rPr>
          <w:b/>
          <w:bCs/>
        </w:rPr>
      </w:pPr>
    </w:p>
    <w:p w:rsidR="003C6A73" w:rsidRDefault="003C6A73" w:rsidP="003C6A73">
      <w:pPr>
        <w:rPr>
          <w:b/>
          <w:bCs/>
        </w:rPr>
      </w:pPr>
    </w:p>
    <w:p w:rsidR="003C6A73" w:rsidRDefault="003C6A73" w:rsidP="003C6A73">
      <w:pPr>
        <w:rPr>
          <w:b/>
          <w:bCs/>
        </w:rPr>
      </w:pPr>
    </w:p>
    <w:p w:rsidR="003C6A73" w:rsidRDefault="003C6A73" w:rsidP="003C6A73">
      <w:pPr>
        <w:rPr>
          <w:b/>
          <w:bCs/>
        </w:rPr>
      </w:pPr>
    </w:p>
    <w:p w:rsidR="003C6A73" w:rsidRDefault="003C6A73" w:rsidP="003C6A73">
      <w:pPr>
        <w:rPr>
          <w:b/>
          <w:bCs/>
        </w:rPr>
      </w:pPr>
    </w:p>
    <w:p w:rsidR="003C6A73" w:rsidRDefault="003C6A73" w:rsidP="003C6A73">
      <w:pPr>
        <w:rPr>
          <w:b/>
          <w:bCs/>
        </w:rPr>
      </w:pPr>
    </w:p>
    <w:p w:rsidR="003C6A73" w:rsidRDefault="003C6A73" w:rsidP="003C6A73">
      <w:pPr>
        <w:rPr>
          <w:b/>
          <w:bCs/>
        </w:rPr>
      </w:pPr>
    </w:p>
    <w:p w:rsidR="003C6A73" w:rsidRDefault="003C6A73" w:rsidP="003C6A73">
      <w:pPr>
        <w:rPr>
          <w:b/>
          <w:bCs/>
        </w:rPr>
      </w:pPr>
    </w:p>
    <w:p w:rsidR="003C6A73" w:rsidRDefault="003C6A73" w:rsidP="003C6A73">
      <w:pPr>
        <w:rPr>
          <w:b/>
          <w:bCs/>
        </w:rPr>
      </w:pPr>
    </w:p>
    <w:p w:rsidR="003C6A73" w:rsidRDefault="003C6A73" w:rsidP="003C6A73">
      <w:pPr>
        <w:rPr>
          <w:b/>
          <w:bCs/>
        </w:rPr>
      </w:pPr>
    </w:p>
    <w:p w:rsidR="003C6A73" w:rsidRDefault="003C6A73" w:rsidP="003C6A73">
      <w:pPr>
        <w:rPr>
          <w:b/>
          <w:bCs/>
        </w:rPr>
      </w:pPr>
    </w:p>
    <w:p w:rsidR="003C6A73" w:rsidRDefault="003C6A73" w:rsidP="003C6A73">
      <w:pPr>
        <w:rPr>
          <w:b/>
          <w:bCs/>
        </w:rPr>
      </w:pPr>
    </w:p>
    <w:p w:rsidR="003C6A73" w:rsidRDefault="003C6A73" w:rsidP="003C6A73">
      <w:pPr>
        <w:rPr>
          <w:b/>
          <w:bCs/>
        </w:rPr>
      </w:pPr>
    </w:p>
    <w:p w:rsidR="003C6A73" w:rsidRDefault="003C6A73" w:rsidP="003C6A73">
      <w:pPr>
        <w:rPr>
          <w:b/>
          <w:bCs/>
        </w:rPr>
      </w:pPr>
    </w:p>
    <w:p w:rsidR="003C6A73" w:rsidRDefault="003C6A73" w:rsidP="003C6A73">
      <w:pPr>
        <w:rPr>
          <w:b/>
          <w:bCs/>
        </w:rPr>
      </w:pPr>
    </w:p>
    <w:p w:rsidR="003C6A73" w:rsidRDefault="003C6A73" w:rsidP="003C6A73">
      <w:pPr>
        <w:rPr>
          <w:b/>
          <w:bCs/>
        </w:rPr>
      </w:pPr>
    </w:p>
    <w:p w:rsidR="003C6A73" w:rsidRPr="003C6A73" w:rsidRDefault="003C6A73" w:rsidP="003C6A73">
      <w:r w:rsidRPr="003C6A73">
        <w:rPr>
          <w:b/>
          <w:bCs/>
        </w:rPr>
        <w:t xml:space="preserve">Table of Contents </w:t>
      </w:r>
    </w:p>
    <w:p w:rsidR="003C6A73" w:rsidRPr="003C6A73" w:rsidRDefault="005C11AC" w:rsidP="003C6A73">
      <w:r>
        <w:rPr>
          <w:b/>
          <w:bCs/>
        </w:rPr>
        <w:t xml:space="preserve">1 Introduction </w:t>
      </w:r>
      <w:r w:rsidR="003C6A73" w:rsidRPr="003C6A73">
        <w:rPr>
          <w:b/>
          <w:bCs/>
        </w:rPr>
        <w:t xml:space="preserve"> </w:t>
      </w:r>
    </w:p>
    <w:p w:rsidR="003C6A73" w:rsidRPr="003C6A73" w:rsidRDefault="005C11AC" w:rsidP="003C6A73">
      <w:r>
        <w:rPr>
          <w:b/>
          <w:bCs/>
        </w:rPr>
        <w:t xml:space="preserve">2 Scope of the Qualification </w:t>
      </w:r>
    </w:p>
    <w:p w:rsidR="003C6A73" w:rsidRPr="003C6A73" w:rsidRDefault="005C11AC" w:rsidP="003C6A73">
      <w:r>
        <w:rPr>
          <w:b/>
          <w:bCs/>
        </w:rPr>
        <w:t xml:space="preserve">3 Qualification Structure </w:t>
      </w:r>
      <w:r w:rsidR="003C6A73" w:rsidRPr="003C6A73">
        <w:rPr>
          <w:b/>
          <w:bCs/>
        </w:rPr>
        <w:t xml:space="preserve"> </w:t>
      </w:r>
    </w:p>
    <w:p w:rsidR="003C6A73" w:rsidRPr="003C6A73" w:rsidRDefault="005C11AC" w:rsidP="003C6A73">
      <w:r>
        <w:rPr>
          <w:b/>
          <w:bCs/>
        </w:rPr>
        <w:t xml:space="preserve">4 Assessor Requirements </w:t>
      </w:r>
      <w:r w:rsidR="003C6A73" w:rsidRPr="003C6A73">
        <w:rPr>
          <w:b/>
          <w:bCs/>
        </w:rPr>
        <w:t xml:space="preserve"> </w:t>
      </w:r>
    </w:p>
    <w:p w:rsidR="003C6A73" w:rsidRPr="003C6A73" w:rsidRDefault="005C11AC" w:rsidP="003C6A73">
      <w:r>
        <w:rPr>
          <w:b/>
          <w:bCs/>
        </w:rPr>
        <w:t xml:space="preserve">5 Verifier Requirements </w:t>
      </w:r>
      <w:r w:rsidR="003C6A73" w:rsidRPr="003C6A73">
        <w:rPr>
          <w:b/>
          <w:bCs/>
        </w:rPr>
        <w:t xml:space="preserve"> </w:t>
      </w:r>
    </w:p>
    <w:p w:rsidR="003C6A73" w:rsidRPr="003C6A73" w:rsidRDefault="005C11AC" w:rsidP="003C6A73">
      <w:r>
        <w:rPr>
          <w:b/>
          <w:bCs/>
        </w:rPr>
        <w:t xml:space="preserve">6 </w:t>
      </w:r>
      <w:r w:rsidR="003C6A73" w:rsidRPr="003C6A73">
        <w:rPr>
          <w:b/>
          <w:bCs/>
        </w:rPr>
        <w:t>Technical Requirement</w:t>
      </w:r>
      <w:r>
        <w:rPr>
          <w:b/>
          <w:bCs/>
        </w:rPr>
        <w:t xml:space="preserve">s for Assessors and Verifiers </w:t>
      </w:r>
    </w:p>
    <w:p w:rsidR="003C6A73" w:rsidRPr="003C6A73" w:rsidRDefault="005C11AC" w:rsidP="003C6A73">
      <w:r>
        <w:rPr>
          <w:b/>
          <w:bCs/>
        </w:rPr>
        <w:t xml:space="preserve">7 Assessment Environment </w:t>
      </w:r>
      <w:r w:rsidR="003C6A73" w:rsidRPr="003C6A73">
        <w:rPr>
          <w:b/>
          <w:bCs/>
        </w:rPr>
        <w:t xml:space="preserve"> </w:t>
      </w:r>
    </w:p>
    <w:p w:rsidR="003C6A73" w:rsidRPr="003C6A73" w:rsidRDefault="005C11AC" w:rsidP="003C6A73">
      <w:r>
        <w:rPr>
          <w:b/>
          <w:bCs/>
        </w:rPr>
        <w:t xml:space="preserve">8 </w:t>
      </w:r>
      <w:r w:rsidR="002D55AD">
        <w:rPr>
          <w:b/>
          <w:bCs/>
        </w:rPr>
        <w:t>Accesses</w:t>
      </w:r>
      <w:r>
        <w:rPr>
          <w:b/>
          <w:bCs/>
        </w:rPr>
        <w:t xml:space="preserve"> to Assessment </w:t>
      </w:r>
      <w:r w:rsidR="003C6A73" w:rsidRPr="003C6A73">
        <w:rPr>
          <w:b/>
          <w:bCs/>
        </w:rPr>
        <w:t xml:space="preserve"> </w:t>
      </w:r>
    </w:p>
    <w:p w:rsidR="003C6A73" w:rsidRPr="003C6A73" w:rsidRDefault="005C11AC" w:rsidP="003C6A73">
      <w:r>
        <w:rPr>
          <w:b/>
          <w:bCs/>
        </w:rPr>
        <w:t xml:space="preserve">9 Carrying out Assessment </w:t>
      </w:r>
      <w:r w:rsidR="003C6A73" w:rsidRPr="003C6A73">
        <w:rPr>
          <w:b/>
          <w:bCs/>
        </w:rPr>
        <w:t xml:space="preserve"> </w:t>
      </w:r>
    </w:p>
    <w:p w:rsidR="003C6A73" w:rsidRPr="003C6A73" w:rsidRDefault="005C11AC" w:rsidP="003C6A73">
      <w:r>
        <w:rPr>
          <w:b/>
          <w:bCs/>
        </w:rPr>
        <w:t>10 A</w:t>
      </w:r>
      <w:r w:rsidR="003C6A73" w:rsidRPr="003C6A73">
        <w:rPr>
          <w:b/>
          <w:bCs/>
        </w:rPr>
        <w:t>ssessi</w:t>
      </w:r>
      <w:r>
        <w:rPr>
          <w:b/>
          <w:bCs/>
        </w:rPr>
        <w:t xml:space="preserve">ng Knowledge and Understanding </w:t>
      </w:r>
      <w:r w:rsidR="003C6A73" w:rsidRPr="003C6A73">
        <w:rPr>
          <w:b/>
          <w:bCs/>
        </w:rPr>
        <w:t xml:space="preserve"> </w:t>
      </w:r>
    </w:p>
    <w:p w:rsidR="003C6A73" w:rsidRPr="003C6A73" w:rsidRDefault="005C11AC" w:rsidP="003C6A73">
      <w:r>
        <w:rPr>
          <w:b/>
          <w:bCs/>
        </w:rPr>
        <w:t xml:space="preserve">11 Expert Witness Testimony </w:t>
      </w:r>
    </w:p>
    <w:p w:rsidR="003C6A73" w:rsidRDefault="005C11AC" w:rsidP="003C6A73">
      <w:pPr>
        <w:rPr>
          <w:b/>
          <w:bCs/>
        </w:rPr>
      </w:pPr>
      <w:r>
        <w:rPr>
          <w:b/>
          <w:bCs/>
        </w:rPr>
        <w:t xml:space="preserve">12 </w:t>
      </w:r>
      <w:proofErr w:type="spellStart"/>
      <w:r w:rsidR="003C6A73" w:rsidRPr="003C6A73">
        <w:rPr>
          <w:b/>
          <w:bCs/>
        </w:rPr>
        <w:t>Semta</w:t>
      </w:r>
      <w:proofErr w:type="spellEnd"/>
      <w:r w:rsidR="003C6A73" w:rsidRPr="003C6A73">
        <w:rPr>
          <w:b/>
          <w:bCs/>
        </w:rPr>
        <w:t xml:space="preserve"> External Quality Control </w:t>
      </w:r>
      <w:r>
        <w:rPr>
          <w:b/>
          <w:bCs/>
        </w:rPr>
        <w:t xml:space="preserve">of Assessment </w:t>
      </w:r>
      <w:r w:rsidR="003C6A73" w:rsidRPr="003C6A73">
        <w:rPr>
          <w:b/>
          <w:bCs/>
        </w:rPr>
        <w:t xml:space="preserve"> </w:t>
      </w:r>
    </w:p>
    <w:p w:rsidR="00940875" w:rsidRPr="003C6A73" w:rsidRDefault="00940875" w:rsidP="003C6A73">
      <w:r>
        <w:rPr>
          <w:b/>
          <w:bCs/>
        </w:rPr>
        <w:t>13. Assessment Guidance</w:t>
      </w:r>
    </w:p>
    <w:p w:rsidR="003C6A73" w:rsidRDefault="003C6A73" w:rsidP="003C6A73">
      <w:pPr>
        <w:pStyle w:val="Default"/>
        <w:rPr>
          <w:b/>
          <w:bCs/>
        </w:rPr>
      </w:pPr>
    </w:p>
    <w:p w:rsidR="003C6A73" w:rsidRDefault="003C6A73" w:rsidP="003C6A73">
      <w:pPr>
        <w:pStyle w:val="Default"/>
        <w:rPr>
          <w:b/>
          <w:bCs/>
        </w:rPr>
      </w:pPr>
    </w:p>
    <w:p w:rsidR="003C6A73" w:rsidRDefault="003C6A73" w:rsidP="003C6A73">
      <w:pPr>
        <w:pStyle w:val="Default"/>
        <w:rPr>
          <w:b/>
          <w:bCs/>
        </w:rPr>
      </w:pPr>
    </w:p>
    <w:p w:rsidR="003C6A73" w:rsidRDefault="003C6A73" w:rsidP="003C6A73">
      <w:pPr>
        <w:pStyle w:val="Default"/>
        <w:rPr>
          <w:b/>
          <w:bCs/>
        </w:rPr>
      </w:pPr>
    </w:p>
    <w:p w:rsidR="003C6A73" w:rsidRDefault="003C6A73" w:rsidP="003C6A73">
      <w:pPr>
        <w:pStyle w:val="Default"/>
        <w:rPr>
          <w:b/>
          <w:bCs/>
        </w:rPr>
      </w:pPr>
    </w:p>
    <w:p w:rsidR="003C6A73" w:rsidRDefault="003C6A73" w:rsidP="003C6A73">
      <w:pPr>
        <w:pStyle w:val="Default"/>
        <w:rPr>
          <w:b/>
          <w:bCs/>
        </w:rPr>
      </w:pPr>
    </w:p>
    <w:p w:rsidR="003C6A73" w:rsidRDefault="003C6A73" w:rsidP="003C6A73">
      <w:pPr>
        <w:pStyle w:val="Default"/>
        <w:rPr>
          <w:b/>
          <w:bCs/>
        </w:rPr>
      </w:pPr>
    </w:p>
    <w:p w:rsidR="003C6A73" w:rsidRDefault="003C6A73" w:rsidP="003C6A73">
      <w:pPr>
        <w:pStyle w:val="Default"/>
        <w:rPr>
          <w:b/>
          <w:bCs/>
        </w:rPr>
      </w:pPr>
    </w:p>
    <w:p w:rsidR="003C6A73" w:rsidRDefault="003C6A73" w:rsidP="003C6A73">
      <w:pPr>
        <w:pStyle w:val="Default"/>
        <w:rPr>
          <w:b/>
          <w:bCs/>
        </w:rPr>
      </w:pPr>
    </w:p>
    <w:p w:rsidR="003C6A73" w:rsidRDefault="003C6A73" w:rsidP="003C6A73">
      <w:pPr>
        <w:pStyle w:val="Default"/>
        <w:rPr>
          <w:b/>
          <w:bCs/>
        </w:rPr>
      </w:pPr>
    </w:p>
    <w:p w:rsidR="003C6A73" w:rsidRDefault="003C6A73" w:rsidP="003C6A73">
      <w:pPr>
        <w:pStyle w:val="Default"/>
        <w:rPr>
          <w:b/>
          <w:bCs/>
        </w:rPr>
      </w:pPr>
    </w:p>
    <w:p w:rsidR="003C6A73" w:rsidRDefault="003C6A73" w:rsidP="003C6A73">
      <w:pPr>
        <w:pStyle w:val="Default"/>
        <w:rPr>
          <w:b/>
          <w:bCs/>
        </w:rPr>
      </w:pPr>
    </w:p>
    <w:p w:rsidR="003C6A73" w:rsidRDefault="003C6A73" w:rsidP="003C6A73">
      <w:pPr>
        <w:pStyle w:val="Default"/>
        <w:rPr>
          <w:b/>
          <w:bCs/>
        </w:rPr>
      </w:pPr>
    </w:p>
    <w:p w:rsidR="003C6A73" w:rsidRDefault="003C6A73" w:rsidP="003C6A73">
      <w:pPr>
        <w:pStyle w:val="Default"/>
        <w:rPr>
          <w:b/>
          <w:bCs/>
        </w:rPr>
      </w:pPr>
    </w:p>
    <w:p w:rsidR="003C6A73" w:rsidRDefault="003C6A73" w:rsidP="003C6A73">
      <w:pPr>
        <w:pStyle w:val="Default"/>
        <w:rPr>
          <w:b/>
          <w:bCs/>
        </w:rPr>
      </w:pPr>
    </w:p>
    <w:p w:rsidR="003C6A73" w:rsidRDefault="003C6A73" w:rsidP="003C6A73">
      <w:pPr>
        <w:pStyle w:val="Default"/>
        <w:rPr>
          <w:b/>
          <w:bCs/>
        </w:rPr>
      </w:pPr>
    </w:p>
    <w:p w:rsidR="003C6A73" w:rsidRDefault="003C6A73" w:rsidP="003C6A73">
      <w:pPr>
        <w:pStyle w:val="Default"/>
        <w:rPr>
          <w:b/>
          <w:bCs/>
        </w:rPr>
      </w:pPr>
    </w:p>
    <w:p w:rsidR="003C6A73" w:rsidRDefault="003C6A73" w:rsidP="003C6A73">
      <w:pPr>
        <w:pStyle w:val="Default"/>
        <w:rPr>
          <w:b/>
          <w:bCs/>
        </w:rPr>
      </w:pPr>
    </w:p>
    <w:p w:rsidR="003C6A73" w:rsidRDefault="00D07E36" w:rsidP="00D07E36">
      <w:pPr>
        <w:pStyle w:val="Default"/>
        <w:rPr>
          <w:sz w:val="23"/>
          <w:szCs w:val="23"/>
        </w:rPr>
      </w:pPr>
      <w:r>
        <w:rPr>
          <w:b/>
          <w:bCs/>
          <w:sz w:val="23"/>
          <w:szCs w:val="23"/>
        </w:rPr>
        <w:t xml:space="preserve">1. </w:t>
      </w:r>
      <w:r w:rsidR="003C6A73">
        <w:rPr>
          <w:b/>
          <w:bCs/>
          <w:sz w:val="23"/>
          <w:szCs w:val="23"/>
        </w:rPr>
        <w:t xml:space="preserve">Introduction </w:t>
      </w:r>
    </w:p>
    <w:p w:rsidR="00332667" w:rsidRDefault="00332667" w:rsidP="003C6A73">
      <w:pPr>
        <w:pStyle w:val="Default"/>
        <w:rPr>
          <w:sz w:val="20"/>
          <w:szCs w:val="20"/>
        </w:rPr>
      </w:pPr>
    </w:p>
    <w:p w:rsidR="003C6A73" w:rsidRDefault="003C6A73" w:rsidP="003C6A73">
      <w:pPr>
        <w:pStyle w:val="Default"/>
        <w:rPr>
          <w:sz w:val="20"/>
          <w:szCs w:val="20"/>
        </w:rPr>
      </w:pPr>
      <w:proofErr w:type="spellStart"/>
      <w:r>
        <w:rPr>
          <w:sz w:val="20"/>
          <w:szCs w:val="20"/>
        </w:rPr>
        <w:t>Semta</w:t>
      </w:r>
      <w:proofErr w:type="spellEnd"/>
      <w:r>
        <w:rPr>
          <w:sz w:val="20"/>
          <w:szCs w:val="20"/>
        </w:rPr>
        <w:t>, the Standards Setting Body for the Science Engineering Manufacturing Technologies sector, has taken into account the Scottish Qualifications Authority (SQA) Accreditation’s regulatory requirements in producing this Assessment Strategy</w:t>
      </w:r>
      <w:r w:rsidR="008037D4">
        <w:rPr>
          <w:sz w:val="20"/>
          <w:szCs w:val="20"/>
        </w:rPr>
        <w:t>.</w:t>
      </w:r>
      <w:r>
        <w:rPr>
          <w:sz w:val="20"/>
          <w:szCs w:val="20"/>
        </w:rPr>
        <w:t xml:space="preserve"> </w:t>
      </w:r>
    </w:p>
    <w:p w:rsidR="003C6A73" w:rsidRDefault="003C6A73" w:rsidP="003C6A73">
      <w:pPr>
        <w:pStyle w:val="Default"/>
        <w:rPr>
          <w:sz w:val="20"/>
          <w:szCs w:val="20"/>
        </w:rPr>
      </w:pPr>
      <w:proofErr w:type="spellStart"/>
      <w:r>
        <w:rPr>
          <w:sz w:val="20"/>
          <w:szCs w:val="20"/>
        </w:rPr>
        <w:t>Semta</w:t>
      </w:r>
      <w:proofErr w:type="spellEnd"/>
      <w:r>
        <w:rPr>
          <w:sz w:val="20"/>
          <w:szCs w:val="20"/>
        </w:rPr>
        <w:t xml:space="preserve"> has produced this guidance to: </w:t>
      </w:r>
    </w:p>
    <w:p w:rsidR="003F28B4" w:rsidRDefault="003F28B4" w:rsidP="003C6A73">
      <w:pPr>
        <w:pStyle w:val="Default"/>
        <w:rPr>
          <w:sz w:val="20"/>
          <w:szCs w:val="20"/>
        </w:rPr>
      </w:pPr>
    </w:p>
    <w:p w:rsidR="003C6A73" w:rsidRDefault="003C6A73" w:rsidP="003C6A73">
      <w:pPr>
        <w:pStyle w:val="Default"/>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assist assessors, internal verifiers and external verifiers </w:t>
      </w:r>
    </w:p>
    <w:p w:rsidR="003C6A73" w:rsidRDefault="003C6A73" w:rsidP="003C6A73">
      <w:pPr>
        <w:pStyle w:val="Default"/>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encourage and promote consistent assessment of this qualification and/or units. </w:t>
      </w:r>
    </w:p>
    <w:p w:rsidR="003C6A73" w:rsidRDefault="003C6A73" w:rsidP="003C6A73">
      <w:pPr>
        <w:pStyle w:val="Default"/>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promote cost effective assessment plans </w:t>
      </w:r>
    </w:p>
    <w:p w:rsidR="003C6A73" w:rsidRDefault="003C6A73" w:rsidP="003C6A73">
      <w:pPr>
        <w:pStyle w:val="Default"/>
        <w:rPr>
          <w:sz w:val="20"/>
          <w:szCs w:val="20"/>
        </w:rPr>
      </w:pPr>
    </w:p>
    <w:p w:rsidR="003C6A73" w:rsidRDefault="003C6A73" w:rsidP="003C6A73">
      <w:pPr>
        <w:pStyle w:val="Default"/>
        <w:rPr>
          <w:sz w:val="20"/>
          <w:szCs w:val="20"/>
        </w:rPr>
      </w:pPr>
      <w:r>
        <w:rPr>
          <w:sz w:val="20"/>
          <w:szCs w:val="20"/>
        </w:rPr>
        <w:t xml:space="preserve">This guidance provides definitions for: </w:t>
      </w:r>
    </w:p>
    <w:p w:rsidR="003C6A73" w:rsidRDefault="003C6A73" w:rsidP="003C6A73">
      <w:pPr>
        <w:pStyle w:val="Default"/>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the qualifications and experience required for Assessors and Verifiers </w:t>
      </w:r>
    </w:p>
    <w:p w:rsidR="003C6A73" w:rsidRDefault="003C6A73" w:rsidP="003C6A73">
      <w:pPr>
        <w:pStyle w:val="Default"/>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the assessment environment and notes on simulation / replication </w:t>
      </w:r>
    </w:p>
    <w:p w:rsidR="003C6A73" w:rsidRDefault="003C6A73" w:rsidP="003C6A73">
      <w:pPr>
        <w:pStyle w:val="Default"/>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access to </w:t>
      </w:r>
      <w:r w:rsidR="00D07E36">
        <w:rPr>
          <w:sz w:val="20"/>
          <w:szCs w:val="20"/>
        </w:rPr>
        <w:t>these</w:t>
      </w:r>
      <w:r>
        <w:rPr>
          <w:sz w:val="20"/>
          <w:szCs w:val="20"/>
        </w:rPr>
        <w:t xml:space="preserve"> qualification/units </w:t>
      </w:r>
    </w:p>
    <w:p w:rsidR="003C6A73" w:rsidRDefault="003C6A73" w:rsidP="003C6A73">
      <w:pPr>
        <w:pStyle w:val="Default"/>
        <w:rPr>
          <w:sz w:val="20"/>
          <w:szCs w:val="20"/>
        </w:rPr>
      </w:pPr>
    </w:p>
    <w:p w:rsidR="003C6A73" w:rsidRDefault="003C6A73" w:rsidP="003C6A73">
      <w:pPr>
        <w:pStyle w:val="Default"/>
        <w:rPr>
          <w:sz w:val="20"/>
          <w:szCs w:val="20"/>
        </w:rPr>
      </w:pPr>
      <w:proofErr w:type="gramStart"/>
      <w:r>
        <w:rPr>
          <w:sz w:val="20"/>
          <w:szCs w:val="20"/>
        </w:rPr>
        <w:t>and</w:t>
      </w:r>
      <w:proofErr w:type="gramEnd"/>
      <w:r>
        <w:rPr>
          <w:sz w:val="20"/>
          <w:szCs w:val="20"/>
        </w:rPr>
        <w:t xml:space="preserve"> suggestions for: </w:t>
      </w:r>
    </w:p>
    <w:p w:rsidR="003C6A73" w:rsidRDefault="003C6A73" w:rsidP="003C6A73">
      <w:pPr>
        <w:pStyle w:val="Default"/>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carrying out assessments </w:t>
      </w:r>
    </w:p>
    <w:p w:rsidR="003C6A73" w:rsidRDefault="003C6A73" w:rsidP="003C6A73">
      <w:pPr>
        <w:pStyle w:val="Default"/>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performance evidence requirements </w:t>
      </w:r>
    </w:p>
    <w:p w:rsidR="003C6A73" w:rsidRDefault="003C6A73" w:rsidP="003C6A73">
      <w:pPr>
        <w:pStyle w:val="Default"/>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assessing knowledge and understanding </w:t>
      </w:r>
    </w:p>
    <w:p w:rsidR="003C6A73" w:rsidRDefault="003C6A73" w:rsidP="003C6A73">
      <w:pPr>
        <w:pStyle w:val="Default"/>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the arrangements for ‘external quality control of assessment’ </w:t>
      </w:r>
    </w:p>
    <w:p w:rsidR="003C6A73" w:rsidRDefault="003C6A73" w:rsidP="003C6A73">
      <w:pPr>
        <w:pStyle w:val="Default"/>
        <w:rPr>
          <w:sz w:val="20"/>
          <w:szCs w:val="20"/>
        </w:rPr>
      </w:pPr>
    </w:p>
    <w:p w:rsidR="003C6A73" w:rsidRDefault="003C6A73" w:rsidP="00D07E36">
      <w:pPr>
        <w:pStyle w:val="Default"/>
        <w:rPr>
          <w:sz w:val="20"/>
          <w:szCs w:val="20"/>
        </w:rPr>
      </w:pPr>
      <w:r>
        <w:rPr>
          <w:sz w:val="20"/>
          <w:szCs w:val="20"/>
        </w:rPr>
        <w:t xml:space="preserve">The importance which employers and candidates place on having this qualification will provide a key measure of </w:t>
      </w:r>
      <w:proofErr w:type="spellStart"/>
      <w:r>
        <w:rPr>
          <w:sz w:val="20"/>
          <w:szCs w:val="20"/>
        </w:rPr>
        <w:t>Semta’s</w:t>
      </w:r>
      <w:proofErr w:type="spellEnd"/>
      <w:r>
        <w:rPr>
          <w:sz w:val="20"/>
          <w:szCs w:val="20"/>
        </w:rPr>
        <w:t xml:space="preserve"> success with this assessment strategy. Another key success factor will be </w:t>
      </w:r>
      <w:proofErr w:type="spellStart"/>
      <w:r>
        <w:rPr>
          <w:sz w:val="20"/>
          <w:szCs w:val="20"/>
        </w:rPr>
        <w:t>Semta’s</w:t>
      </w:r>
      <w:proofErr w:type="spellEnd"/>
      <w:r>
        <w:rPr>
          <w:sz w:val="20"/>
          <w:szCs w:val="20"/>
        </w:rPr>
        <w:t xml:space="preserve"> partnership with the relevant Awarding Bodies. </w:t>
      </w:r>
      <w:proofErr w:type="spellStart"/>
      <w:r>
        <w:rPr>
          <w:sz w:val="20"/>
          <w:szCs w:val="20"/>
        </w:rPr>
        <w:t>Semta</w:t>
      </w:r>
      <w:proofErr w:type="spellEnd"/>
      <w:r w:rsidR="008759CD">
        <w:rPr>
          <w:sz w:val="20"/>
          <w:szCs w:val="20"/>
        </w:rPr>
        <w:t xml:space="preserve"> </w:t>
      </w:r>
      <w:r>
        <w:rPr>
          <w:sz w:val="20"/>
          <w:szCs w:val="20"/>
        </w:rPr>
        <w:t xml:space="preserve">will use the following guidance to continually improve its strategies for assessment for part or whole qualifications. </w:t>
      </w:r>
    </w:p>
    <w:p w:rsidR="00D07E36" w:rsidRDefault="00D07E36" w:rsidP="003C6A73">
      <w:pPr>
        <w:pStyle w:val="Default"/>
        <w:rPr>
          <w:b/>
          <w:bCs/>
          <w:sz w:val="23"/>
          <w:szCs w:val="23"/>
        </w:rPr>
      </w:pPr>
    </w:p>
    <w:p w:rsidR="003C6A73" w:rsidRDefault="00D07E36" w:rsidP="003C6A73">
      <w:pPr>
        <w:pStyle w:val="Default"/>
        <w:rPr>
          <w:sz w:val="23"/>
          <w:szCs w:val="23"/>
        </w:rPr>
      </w:pPr>
      <w:r>
        <w:rPr>
          <w:b/>
          <w:bCs/>
          <w:sz w:val="23"/>
          <w:szCs w:val="23"/>
        </w:rPr>
        <w:t xml:space="preserve">2. </w:t>
      </w:r>
      <w:r w:rsidR="003C6A73">
        <w:rPr>
          <w:b/>
          <w:bCs/>
          <w:sz w:val="23"/>
          <w:szCs w:val="23"/>
        </w:rPr>
        <w:t xml:space="preserve">Scope of the Qualification </w:t>
      </w:r>
    </w:p>
    <w:p w:rsidR="00D07E36" w:rsidRDefault="00D07E36" w:rsidP="003C6A73">
      <w:pPr>
        <w:pStyle w:val="Default"/>
        <w:rPr>
          <w:sz w:val="20"/>
          <w:szCs w:val="20"/>
        </w:rPr>
      </w:pPr>
    </w:p>
    <w:p w:rsidR="00D07E36" w:rsidRDefault="003C6A73" w:rsidP="003C6A73">
      <w:pPr>
        <w:pStyle w:val="Default"/>
        <w:rPr>
          <w:sz w:val="20"/>
          <w:szCs w:val="20"/>
        </w:rPr>
      </w:pPr>
      <w:r>
        <w:rPr>
          <w:sz w:val="20"/>
          <w:szCs w:val="20"/>
        </w:rPr>
        <w:t xml:space="preserve">Evidence of competence must be assessed against the requirements of the relevant </w:t>
      </w:r>
      <w:r w:rsidR="00D07E36">
        <w:rPr>
          <w:sz w:val="20"/>
          <w:szCs w:val="20"/>
        </w:rPr>
        <w:t>National Occupational Standards as identified in the qualification structures.</w:t>
      </w:r>
      <w:r>
        <w:rPr>
          <w:sz w:val="20"/>
          <w:szCs w:val="20"/>
        </w:rPr>
        <w:t xml:space="preserve"> </w:t>
      </w:r>
    </w:p>
    <w:p w:rsidR="00D07E36" w:rsidRDefault="00D07E36" w:rsidP="003C6A73">
      <w:pPr>
        <w:pStyle w:val="Default"/>
        <w:rPr>
          <w:sz w:val="20"/>
          <w:szCs w:val="20"/>
        </w:rPr>
      </w:pPr>
    </w:p>
    <w:p w:rsidR="003C6A73" w:rsidRDefault="00D07E36" w:rsidP="003C6A73">
      <w:pPr>
        <w:pStyle w:val="Default"/>
        <w:rPr>
          <w:sz w:val="23"/>
          <w:szCs w:val="23"/>
        </w:rPr>
      </w:pPr>
      <w:r>
        <w:rPr>
          <w:b/>
          <w:bCs/>
          <w:sz w:val="23"/>
          <w:szCs w:val="23"/>
        </w:rPr>
        <w:t xml:space="preserve">3. </w:t>
      </w:r>
      <w:r w:rsidR="003C6A73">
        <w:rPr>
          <w:b/>
          <w:bCs/>
          <w:sz w:val="23"/>
          <w:szCs w:val="23"/>
        </w:rPr>
        <w:t xml:space="preserve">Qualification Structure </w:t>
      </w:r>
    </w:p>
    <w:p w:rsidR="00D07E36" w:rsidRDefault="00D07E36" w:rsidP="003C6A73">
      <w:pPr>
        <w:pStyle w:val="Default"/>
        <w:rPr>
          <w:sz w:val="20"/>
          <w:szCs w:val="20"/>
        </w:rPr>
      </w:pPr>
    </w:p>
    <w:p w:rsidR="003C6A73" w:rsidRPr="0029112C" w:rsidRDefault="003C6A73" w:rsidP="00D07E36">
      <w:pPr>
        <w:spacing w:after="0" w:line="240" w:lineRule="auto"/>
        <w:rPr>
          <w:rFonts w:ascii="Arial" w:hAnsi="Arial" w:cs="Arial"/>
          <w:b/>
          <w:bCs/>
        </w:rPr>
      </w:pPr>
      <w:r w:rsidRPr="0029112C">
        <w:rPr>
          <w:rFonts w:ascii="Arial" w:hAnsi="Arial" w:cs="Arial"/>
          <w:iCs/>
          <w:sz w:val="20"/>
          <w:szCs w:val="20"/>
        </w:rPr>
        <w:t>The number of mandatory and optional units required to achieve this qualification, and the available pathways, is defined in the specific qualification structure. This outlines the minimum number of units that must be taken, but additional units can be taken to suit the requirements of particular organisations.</w:t>
      </w:r>
    </w:p>
    <w:p w:rsidR="00D07E36" w:rsidRPr="0029112C" w:rsidRDefault="00D07E36" w:rsidP="003C6A73">
      <w:pPr>
        <w:pStyle w:val="Default"/>
        <w:rPr>
          <w:b/>
          <w:bCs/>
          <w:sz w:val="23"/>
          <w:szCs w:val="23"/>
        </w:rPr>
      </w:pPr>
    </w:p>
    <w:p w:rsidR="003C6A73" w:rsidRDefault="00D07E36" w:rsidP="003C6A73">
      <w:pPr>
        <w:pStyle w:val="Default"/>
        <w:rPr>
          <w:sz w:val="23"/>
          <w:szCs w:val="23"/>
        </w:rPr>
      </w:pPr>
      <w:r>
        <w:rPr>
          <w:b/>
          <w:bCs/>
          <w:sz w:val="23"/>
          <w:szCs w:val="23"/>
        </w:rPr>
        <w:t xml:space="preserve">4. </w:t>
      </w:r>
      <w:r w:rsidR="003C6A73">
        <w:rPr>
          <w:b/>
          <w:bCs/>
          <w:sz w:val="23"/>
          <w:szCs w:val="23"/>
        </w:rPr>
        <w:t xml:space="preserve">Assessor Requirements </w:t>
      </w:r>
    </w:p>
    <w:p w:rsidR="00D07E36" w:rsidRDefault="00D07E36" w:rsidP="003C6A73">
      <w:pPr>
        <w:pStyle w:val="Default"/>
        <w:rPr>
          <w:sz w:val="20"/>
          <w:szCs w:val="20"/>
        </w:rPr>
      </w:pPr>
    </w:p>
    <w:p w:rsidR="003C6A73" w:rsidRDefault="003C6A73" w:rsidP="003C6A73">
      <w:pPr>
        <w:pStyle w:val="Default"/>
        <w:rPr>
          <w:sz w:val="20"/>
          <w:szCs w:val="20"/>
        </w:rPr>
      </w:pPr>
      <w:r>
        <w:rPr>
          <w:sz w:val="20"/>
          <w:szCs w:val="20"/>
        </w:rPr>
        <w:t xml:space="preserve">Assessment must be carried out by competent assessors who must hold or be working towards an appropriate Assessor qualification as identified by SQA Accreditation, the qualification regulator. Assessors holding older assessor qualifications must be able to demonstrate that they are assessing to the current standards as appropriate to the assessment being carried out. </w:t>
      </w:r>
    </w:p>
    <w:p w:rsidR="00332667" w:rsidRDefault="00332667" w:rsidP="003C6A73">
      <w:pPr>
        <w:pStyle w:val="Default"/>
        <w:rPr>
          <w:b/>
          <w:bCs/>
          <w:sz w:val="20"/>
          <w:szCs w:val="20"/>
        </w:rPr>
      </w:pPr>
    </w:p>
    <w:p w:rsidR="00D07E36" w:rsidRDefault="00D07E36" w:rsidP="003C6A73">
      <w:pPr>
        <w:pStyle w:val="Default"/>
        <w:rPr>
          <w:b/>
          <w:bCs/>
          <w:sz w:val="20"/>
          <w:szCs w:val="20"/>
        </w:rPr>
      </w:pPr>
    </w:p>
    <w:p w:rsidR="00D07E36" w:rsidRDefault="00D07E36" w:rsidP="003C6A73">
      <w:pPr>
        <w:pStyle w:val="Default"/>
        <w:rPr>
          <w:b/>
          <w:bCs/>
          <w:sz w:val="20"/>
          <w:szCs w:val="20"/>
        </w:rPr>
      </w:pPr>
    </w:p>
    <w:p w:rsidR="00D07E36" w:rsidRDefault="00D07E36" w:rsidP="003C6A73">
      <w:pPr>
        <w:pStyle w:val="Default"/>
        <w:rPr>
          <w:b/>
          <w:bCs/>
          <w:sz w:val="20"/>
          <w:szCs w:val="20"/>
        </w:rPr>
      </w:pPr>
    </w:p>
    <w:p w:rsidR="008759CD" w:rsidRDefault="008759CD" w:rsidP="003C6A73">
      <w:pPr>
        <w:pStyle w:val="Default"/>
        <w:rPr>
          <w:b/>
          <w:bCs/>
          <w:sz w:val="20"/>
          <w:szCs w:val="20"/>
        </w:rPr>
      </w:pPr>
    </w:p>
    <w:p w:rsidR="003C6A73" w:rsidRDefault="003C6A73" w:rsidP="003C6A73">
      <w:pPr>
        <w:pStyle w:val="Default"/>
        <w:rPr>
          <w:sz w:val="20"/>
          <w:szCs w:val="20"/>
        </w:rPr>
      </w:pPr>
      <w:r>
        <w:rPr>
          <w:b/>
          <w:bCs/>
          <w:sz w:val="20"/>
          <w:szCs w:val="20"/>
        </w:rPr>
        <w:t xml:space="preserve">Specific technical requirements for Assessors </w:t>
      </w:r>
    </w:p>
    <w:p w:rsidR="00D07E36" w:rsidRDefault="00D07E36" w:rsidP="003C6A73">
      <w:pPr>
        <w:pStyle w:val="Default"/>
        <w:rPr>
          <w:sz w:val="20"/>
          <w:szCs w:val="20"/>
        </w:rPr>
      </w:pPr>
    </w:p>
    <w:p w:rsidR="003C6A73" w:rsidRDefault="003C6A73" w:rsidP="003C6A73">
      <w:pPr>
        <w:pStyle w:val="Default"/>
        <w:rPr>
          <w:sz w:val="20"/>
          <w:szCs w:val="20"/>
        </w:rPr>
      </w:pPr>
      <w:r>
        <w:rPr>
          <w:sz w:val="20"/>
          <w:szCs w:val="20"/>
        </w:rPr>
        <w:t xml:space="preserve">Assessors must be able to demonstrate that they have verifiable, relevant and sufficient technical competence to evaluate and judge evidence for this qualification. This will be demonstrated either by holding a relevant technical qualification or by proven industrial experience of the technical areas to be assessed. The assessor’s competence must, at the very least, be at the same level as that required of the candidate(s) in the units being assessed. </w:t>
      </w:r>
    </w:p>
    <w:p w:rsidR="003F28B4" w:rsidRDefault="003F28B4" w:rsidP="003C6A73">
      <w:pPr>
        <w:pStyle w:val="Default"/>
        <w:rPr>
          <w:sz w:val="20"/>
          <w:szCs w:val="20"/>
        </w:rPr>
      </w:pPr>
    </w:p>
    <w:p w:rsidR="003C6A73" w:rsidRDefault="003C6A73" w:rsidP="003C6A73">
      <w:pPr>
        <w:pStyle w:val="Default"/>
        <w:rPr>
          <w:sz w:val="20"/>
          <w:szCs w:val="20"/>
        </w:rPr>
      </w:pPr>
      <w:r>
        <w:rPr>
          <w:sz w:val="20"/>
          <w:szCs w:val="20"/>
        </w:rPr>
        <w:t xml:space="preserve">Assessors must also know: </w:t>
      </w:r>
    </w:p>
    <w:p w:rsidR="003F28B4" w:rsidRDefault="003F28B4" w:rsidP="003C6A73">
      <w:pPr>
        <w:pStyle w:val="Default"/>
        <w:rPr>
          <w:sz w:val="20"/>
          <w:szCs w:val="20"/>
        </w:rPr>
      </w:pPr>
    </w:p>
    <w:p w:rsidR="003F28B4" w:rsidRDefault="003C6A73" w:rsidP="003C6A73">
      <w:pPr>
        <w:pStyle w:val="Default"/>
        <w:spacing w:after="2"/>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the content and meaning of the National Occupational Standards against which assessments are </w:t>
      </w:r>
    </w:p>
    <w:p w:rsidR="003C6A73" w:rsidRDefault="003F28B4" w:rsidP="003F28B4">
      <w:pPr>
        <w:pStyle w:val="Default"/>
        <w:spacing w:after="2"/>
        <w:rPr>
          <w:sz w:val="20"/>
          <w:szCs w:val="20"/>
        </w:rPr>
      </w:pPr>
      <w:r>
        <w:rPr>
          <w:sz w:val="20"/>
          <w:szCs w:val="20"/>
        </w:rPr>
        <w:t xml:space="preserve">      </w:t>
      </w:r>
      <w:proofErr w:type="gramStart"/>
      <w:r w:rsidR="003C6A73">
        <w:rPr>
          <w:sz w:val="20"/>
          <w:szCs w:val="20"/>
        </w:rPr>
        <w:t>to</w:t>
      </w:r>
      <w:proofErr w:type="gramEnd"/>
      <w:r w:rsidR="003C6A73">
        <w:rPr>
          <w:sz w:val="20"/>
          <w:szCs w:val="20"/>
        </w:rPr>
        <w:t xml:space="preserve"> be carried out </w:t>
      </w:r>
    </w:p>
    <w:p w:rsidR="003C6A73" w:rsidRDefault="003C6A73" w:rsidP="003C6A73">
      <w:pPr>
        <w:pStyle w:val="Default"/>
        <w:spacing w:after="2"/>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SQA Accreditation’s regulatory requirements </w:t>
      </w:r>
      <w:r w:rsidR="003F28B4">
        <w:rPr>
          <w:sz w:val="20"/>
          <w:szCs w:val="20"/>
        </w:rPr>
        <w:t xml:space="preserve">       </w:t>
      </w:r>
    </w:p>
    <w:p w:rsidR="003F28B4" w:rsidRDefault="003C6A73" w:rsidP="003C6A73">
      <w:pPr>
        <w:pStyle w:val="Default"/>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the relevant Awarding Body’s documentation and system of vocational qualifications within which </w:t>
      </w:r>
    </w:p>
    <w:p w:rsidR="003C6A73" w:rsidRDefault="003F28B4" w:rsidP="003C6A73">
      <w:pPr>
        <w:pStyle w:val="Default"/>
        <w:rPr>
          <w:sz w:val="20"/>
          <w:szCs w:val="20"/>
        </w:rPr>
      </w:pPr>
      <w:r>
        <w:rPr>
          <w:sz w:val="20"/>
          <w:szCs w:val="20"/>
        </w:rPr>
        <w:t xml:space="preserve">      </w:t>
      </w:r>
      <w:proofErr w:type="gramStart"/>
      <w:r w:rsidR="003C6A73">
        <w:rPr>
          <w:sz w:val="20"/>
          <w:szCs w:val="20"/>
        </w:rPr>
        <w:t>the</w:t>
      </w:r>
      <w:proofErr w:type="gramEnd"/>
      <w:r w:rsidR="003C6A73">
        <w:rPr>
          <w:sz w:val="20"/>
          <w:szCs w:val="20"/>
        </w:rPr>
        <w:t xml:space="preserve"> assessment is taking place </w:t>
      </w:r>
    </w:p>
    <w:p w:rsidR="003C6A73" w:rsidRDefault="003C6A73" w:rsidP="003C6A73">
      <w:pPr>
        <w:pStyle w:val="Default"/>
        <w:rPr>
          <w:sz w:val="20"/>
          <w:szCs w:val="20"/>
        </w:rPr>
      </w:pPr>
    </w:p>
    <w:p w:rsidR="003C6A73" w:rsidRDefault="00D07E36" w:rsidP="003C6A73">
      <w:pPr>
        <w:pStyle w:val="Default"/>
        <w:rPr>
          <w:sz w:val="23"/>
          <w:szCs w:val="23"/>
        </w:rPr>
      </w:pPr>
      <w:r>
        <w:rPr>
          <w:b/>
          <w:bCs/>
          <w:sz w:val="23"/>
          <w:szCs w:val="23"/>
        </w:rPr>
        <w:t xml:space="preserve">5. </w:t>
      </w:r>
      <w:r w:rsidR="003C6A73">
        <w:rPr>
          <w:b/>
          <w:bCs/>
          <w:sz w:val="23"/>
          <w:szCs w:val="23"/>
        </w:rPr>
        <w:t xml:space="preserve">Verifier Requirements </w:t>
      </w:r>
    </w:p>
    <w:p w:rsidR="003F28B4" w:rsidRDefault="003F28B4" w:rsidP="003C6A73">
      <w:pPr>
        <w:pStyle w:val="Default"/>
        <w:rPr>
          <w:sz w:val="20"/>
          <w:szCs w:val="20"/>
        </w:rPr>
      </w:pPr>
    </w:p>
    <w:p w:rsidR="003C6A73" w:rsidRDefault="003C6A73" w:rsidP="003C6A73">
      <w:pPr>
        <w:pStyle w:val="Default"/>
        <w:rPr>
          <w:sz w:val="20"/>
          <w:szCs w:val="20"/>
        </w:rPr>
      </w:pPr>
      <w:r>
        <w:rPr>
          <w:sz w:val="20"/>
          <w:szCs w:val="20"/>
        </w:rPr>
        <w:t xml:space="preserve">Internal Verifiers must hold, or be working towards an appropriate Internal Verifier qualification as identified by SQA Accreditation, the qualification regulator. Internal Verifiers holding older qualifications must be able to demonstrate that they are verifying to the current standards. </w:t>
      </w:r>
    </w:p>
    <w:p w:rsidR="008759CD" w:rsidRDefault="008759CD" w:rsidP="003C6A73">
      <w:pPr>
        <w:pStyle w:val="Default"/>
        <w:rPr>
          <w:sz w:val="20"/>
          <w:szCs w:val="20"/>
        </w:rPr>
      </w:pPr>
    </w:p>
    <w:p w:rsidR="003C6A73" w:rsidRDefault="003C6A73" w:rsidP="003C6A73">
      <w:pPr>
        <w:pStyle w:val="Default"/>
        <w:rPr>
          <w:sz w:val="20"/>
          <w:szCs w:val="20"/>
        </w:rPr>
      </w:pPr>
      <w:r>
        <w:rPr>
          <w:sz w:val="20"/>
          <w:szCs w:val="20"/>
        </w:rPr>
        <w:t xml:space="preserve">External Verifiers must hold, or be working towards, an appropriate External Verifier qualification as identified by SQA Accreditation, the qualification regulator. External Verifiers holding older qualifications must be able to demonstrate that they are verifying to the current standards. </w:t>
      </w:r>
    </w:p>
    <w:p w:rsidR="008759CD" w:rsidRDefault="008759CD" w:rsidP="003C6A73">
      <w:pPr>
        <w:pStyle w:val="Default"/>
        <w:rPr>
          <w:sz w:val="20"/>
          <w:szCs w:val="20"/>
        </w:rPr>
      </w:pPr>
    </w:p>
    <w:p w:rsidR="00D07E36" w:rsidRDefault="003C6A73" w:rsidP="003C6A73">
      <w:pPr>
        <w:pStyle w:val="Default"/>
        <w:rPr>
          <w:sz w:val="20"/>
          <w:szCs w:val="20"/>
        </w:rPr>
      </w:pPr>
      <w:r>
        <w:rPr>
          <w:sz w:val="20"/>
          <w:szCs w:val="20"/>
        </w:rPr>
        <w:t xml:space="preserve">Both Internal and External </w:t>
      </w:r>
      <w:r w:rsidR="00D07E36">
        <w:rPr>
          <w:sz w:val="20"/>
          <w:szCs w:val="20"/>
        </w:rPr>
        <w:t>Verifiers</w:t>
      </w:r>
      <w:r>
        <w:rPr>
          <w:sz w:val="20"/>
          <w:szCs w:val="20"/>
        </w:rPr>
        <w:t xml:space="preserve"> will also be expecte</w:t>
      </w:r>
      <w:r w:rsidR="00D07E36">
        <w:rPr>
          <w:sz w:val="20"/>
          <w:szCs w:val="20"/>
        </w:rPr>
        <w:t xml:space="preserve">d to be fully conversant with: </w:t>
      </w:r>
    </w:p>
    <w:p w:rsidR="00D07E36" w:rsidRDefault="00D07E36" w:rsidP="003C6A73">
      <w:pPr>
        <w:pStyle w:val="Default"/>
        <w:rPr>
          <w:sz w:val="20"/>
          <w:szCs w:val="20"/>
        </w:rPr>
      </w:pPr>
    </w:p>
    <w:p w:rsidR="00D07E36" w:rsidRDefault="003C6A73" w:rsidP="00D07E36">
      <w:pPr>
        <w:pStyle w:val="Default"/>
        <w:numPr>
          <w:ilvl w:val="0"/>
          <w:numId w:val="5"/>
        </w:numPr>
        <w:rPr>
          <w:sz w:val="20"/>
          <w:szCs w:val="20"/>
        </w:rPr>
      </w:pPr>
      <w:r>
        <w:rPr>
          <w:sz w:val="20"/>
          <w:szCs w:val="20"/>
        </w:rPr>
        <w:t>the terminology in the National Occupational Standards against which the assessments and verification are to be carried out</w:t>
      </w:r>
    </w:p>
    <w:p w:rsidR="003C6A73" w:rsidRDefault="003C6A73" w:rsidP="00D07E36">
      <w:pPr>
        <w:pStyle w:val="Default"/>
        <w:numPr>
          <w:ilvl w:val="0"/>
          <w:numId w:val="5"/>
        </w:numPr>
        <w:rPr>
          <w:sz w:val="20"/>
          <w:szCs w:val="20"/>
        </w:rPr>
      </w:pPr>
      <w:r>
        <w:rPr>
          <w:sz w:val="20"/>
          <w:szCs w:val="20"/>
        </w:rPr>
        <w:t xml:space="preserve">SQA Accreditation’s regulatory requirements </w:t>
      </w:r>
    </w:p>
    <w:p w:rsidR="003C6A73" w:rsidRDefault="003C6A73" w:rsidP="00D07E36">
      <w:pPr>
        <w:pStyle w:val="Default"/>
        <w:numPr>
          <w:ilvl w:val="0"/>
          <w:numId w:val="5"/>
        </w:numPr>
        <w:rPr>
          <w:sz w:val="20"/>
          <w:szCs w:val="20"/>
        </w:rPr>
      </w:pPr>
      <w:r>
        <w:rPr>
          <w:sz w:val="20"/>
          <w:szCs w:val="20"/>
        </w:rPr>
        <w:t xml:space="preserve">the relevant Awarding Body’s documentation and system of vocational qualifications within which the assessment and verification is taking place </w:t>
      </w:r>
    </w:p>
    <w:p w:rsidR="005C11AC" w:rsidRDefault="005C11AC" w:rsidP="003C6A73">
      <w:pPr>
        <w:pStyle w:val="Default"/>
        <w:rPr>
          <w:b/>
          <w:bCs/>
          <w:sz w:val="20"/>
          <w:szCs w:val="20"/>
        </w:rPr>
      </w:pPr>
    </w:p>
    <w:p w:rsidR="00332667" w:rsidRPr="00332667" w:rsidRDefault="00332667" w:rsidP="00332667">
      <w:pPr>
        <w:autoSpaceDE w:val="0"/>
        <w:autoSpaceDN w:val="0"/>
        <w:adjustRightInd w:val="0"/>
        <w:spacing w:after="0" w:line="240" w:lineRule="auto"/>
        <w:rPr>
          <w:rFonts w:ascii="LotusWP Type" w:eastAsia="Times New Roman" w:hAnsi="LotusWP Type" w:cs="Arial"/>
          <w:sz w:val="20"/>
          <w:szCs w:val="20"/>
          <w:lang w:val="en-US"/>
        </w:rPr>
      </w:pPr>
      <w:r w:rsidRPr="00332667">
        <w:rPr>
          <w:rFonts w:ascii="Arial" w:eastAsia="Times New Roman" w:hAnsi="Arial" w:cs="Arial"/>
          <w:b/>
          <w:bCs/>
          <w:iCs/>
          <w:sz w:val="20"/>
          <w:szCs w:val="20"/>
          <w:lang w:val="en-US"/>
        </w:rPr>
        <w:t xml:space="preserve">Specific technical requirements for </w:t>
      </w:r>
      <w:r w:rsidR="002D55AD">
        <w:rPr>
          <w:rFonts w:ascii="Arial" w:eastAsia="Times New Roman" w:hAnsi="Arial" w:cs="Arial"/>
          <w:b/>
          <w:bCs/>
          <w:iCs/>
          <w:sz w:val="20"/>
          <w:szCs w:val="20"/>
          <w:lang w:val="en-US"/>
        </w:rPr>
        <w:t>Internal and E</w:t>
      </w:r>
      <w:r w:rsidRPr="00332667">
        <w:rPr>
          <w:rFonts w:ascii="Arial" w:eastAsia="Times New Roman" w:hAnsi="Arial" w:cs="Arial"/>
          <w:b/>
          <w:bCs/>
          <w:iCs/>
          <w:sz w:val="20"/>
          <w:szCs w:val="20"/>
          <w:lang w:val="en-US"/>
        </w:rPr>
        <w:t xml:space="preserve">xternal </w:t>
      </w:r>
      <w:r w:rsidR="008037D4">
        <w:rPr>
          <w:rFonts w:ascii="Arial" w:eastAsia="Times New Roman" w:hAnsi="Arial" w:cs="Arial"/>
          <w:b/>
          <w:bCs/>
          <w:iCs/>
          <w:sz w:val="20"/>
          <w:szCs w:val="20"/>
          <w:lang w:val="en-US"/>
        </w:rPr>
        <w:t>V</w:t>
      </w:r>
      <w:r w:rsidRPr="00332667">
        <w:rPr>
          <w:rFonts w:ascii="Arial" w:eastAsia="Times New Roman" w:hAnsi="Arial" w:cs="Arial"/>
          <w:b/>
          <w:bCs/>
          <w:iCs/>
          <w:sz w:val="20"/>
          <w:szCs w:val="20"/>
          <w:lang w:val="en-US"/>
        </w:rPr>
        <w:t>erifiers</w:t>
      </w:r>
    </w:p>
    <w:p w:rsidR="00332667" w:rsidRPr="00332667" w:rsidRDefault="00332667" w:rsidP="00332667">
      <w:pPr>
        <w:autoSpaceDE w:val="0"/>
        <w:autoSpaceDN w:val="0"/>
        <w:adjustRightInd w:val="0"/>
        <w:spacing w:after="0" w:line="240" w:lineRule="auto"/>
        <w:outlineLvl w:val="0"/>
        <w:rPr>
          <w:rFonts w:ascii="Arial" w:eastAsia="Times New Roman" w:hAnsi="Arial" w:cs="Arial"/>
          <w:sz w:val="20"/>
          <w:szCs w:val="24"/>
          <w:lang w:val="en-US"/>
        </w:rPr>
      </w:pPr>
    </w:p>
    <w:p w:rsidR="00332667" w:rsidRPr="00332667" w:rsidRDefault="002D55AD" w:rsidP="00332667">
      <w:pPr>
        <w:autoSpaceDE w:val="0"/>
        <w:autoSpaceDN w:val="0"/>
        <w:adjustRightInd w:val="0"/>
        <w:spacing w:after="0" w:line="240" w:lineRule="auto"/>
        <w:outlineLvl w:val="0"/>
        <w:rPr>
          <w:rFonts w:ascii="Arial" w:eastAsia="Times New Roman" w:hAnsi="Arial" w:cs="Arial"/>
          <w:bCs/>
          <w:sz w:val="20"/>
          <w:szCs w:val="24"/>
          <w:lang w:val="en-US"/>
        </w:rPr>
      </w:pPr>
      <w:r>
        <w:rPr>
          <w:rFonts w:ascii="Arial" w:eastAsia="Times New Roman" w:hAnsi="Arial" w:cs="Arial"/>
          <w:bCs/>
          <w:sz w:val="20"/>
          <w:szCs w:val="24"/>
          <w:lang w:val="en-US"/>
        </w:rPr>
        <w:t>Internal and E</w:t>
      </w:r>
      <w:r w:rsidR="00332667" w:rsidRPr="00332667">
        <w:rPr>
          <w:rFonts w:ascii="Arial" w:eastAsia="Times New Roman" w:hAnsi="Arial" w:cs="Arial"/>
          <w:bCs/>
          <w:sz w:val="20"/>
          <w:szCs w:val="24"/>
          <w:lang w:val="en-US"/>
        </w:rPr>
        <w:t xml:space="preserve">xternal Verifiers of this qualification and/or units must </w:t>
      </w:r>
      <w:r w:rsidR="00332667" w:rsidRPr="00332667">
        <w:rPr>
          <w:rFonts w:ascii="Arial" w:eastAsia="Times New Roman" w:hAnsi="Arial" w:cs="Arial"/>
          <w:bCs/>
          <w:sz w:val="20"/>
          <w:szCs w:val="20"/>
          <w:lang w:val="en-US"/>
        </w:rPr>
        <w:t xml:space="preserve">be able to demonstrate that they </w:t>
      </w:r>
      <w:r w:rsidR="00332667" w:rsidRPr="00332667">
        <w:rPr>
          <w:rFonts w:ascii="Arial" w:eastAsia="Times New Roman" w:hAnsi="Arial" w:cs="Arial"/>
          <w:bCs/>
          <w:sz w:val="20"/>
          <w:szCs w:val="24"/>
          <w:lang w:val="en-US"/>
        </w:rPr>
        <w:t xml:space="preserve">have </w:t>
      </w:r>
      <w:r w:rsidR="00332667" w:rsidRPr="00332667">
        <w:rPr>
          <w:rFonts w:ascii="Arial" w:eastAsia="Times New Roman" w:hAnsi="Arial" w:cs="Arial"/>
          <w:bCs/>
          <w:sz w:val="20"/>
          <w:szCs w:val="20"/>
          <w:lang w:val="en-US"/>
        </w:rPr>
        <w:t>verifiable, sufficient and relevant industrial</w:t>
      </w:r>
      <w:r w:rsidR="00332667" w:rsidRPr="00332667">
        <w:rPr>
          <w:rFonts w:ascii="Arial" w:eastAsia="Times New Roman" w:hAnsi="Arial" w:cs="Arial"/>
          <w:bCs/>
          <w:sz w:val="20"/>
          <w:szCs w:val="24"/>
          <w:lang w:val="en-US"/>
        </w:rPr>
        <w:t xml:space="preserve"> experience, and must have a working knowledge of the processes, techniques and procedures </w:t>
      </w:r>
      <w:r w:rsidR="00A8687F">
        <w:rPr>
          <w:rFonts w:ascii="Arial" w:eastAsia="Times New Roman" w:hAnsi="Arial" w:cs="Arial"/>
          <w:bCs/>
          <w:sz w:val="20"/>
          <w:szCs w:val="24"/>
          <w:lang w:val="en-US"/>
        </w:rPr>
        <w:t>that are used in the</w:t>
      </w:r>
      <w:r w:rsidR="00332667" w:rsidRPr="00332667">
        <w:rPr>
          <w:rFonts w:ascii="Arial" w:eastAsia="Times New Roman" w:hAnsi="Arial" w:cs="Arial"/>
          <w:bCs/>
          <w:sz w:val="20"/>
          <w:szCs w:val="24"/>
          <w:lang w:val="en-US"/>
        </w:rPr>
        <w:t xml:space="preserve"> industry. </w:t>
      </w:r>
    </w:p>
    <w:p w:rsidR="00332667" w:rsidRPr="00332667" w:rsidRDefault="00332667" w:rsidP="00332667">
      <w:pPr>
        <w:autoSpaceDE w:val="0"/>
        <w:autoSpaceDN w:val="0"/>
        <w:adjustRightInd w:val="0"/>
        <w:spacing w:after="0" w:line="240" w:lineRule="auto"/>
        <w:outlineLvl w:val="0"/>
        <w:rPr>
          <w:rFonts w:ascii="Arial" w:eastAsia="Times New Roman" w:hAnsi="Arial" w:cs="Arial"/>
          <w:bCs/>
          <w:sz w:val="20"/>
          <w:szCs w:val="24"/>
          <w:lang w:val="en-US"/>
        </w:rPr>
      </w:pPr>
    </w:p>
    <w:p w:rsidR="00332667" w:rsidRPr="00332667" w:rsidRDefault="00332667" w:rsidP="00332667">
      <w:pPr>
        <w:autoSpaceDE w:val="0"/>
        <w:autoSpaceDN w:val="0"/>
        <w:adjustRightInd w:val="0"/>
        <w:spacing w:after="0" w:line="240" w:lineRule="auto"/>
        <w:outlineLvl w:val="0"/>
        <w:rPr>
          <w:rFonts w:ascii="Arial" w:eastAsia="Times New Roman" w:hAnsi="Arial" w:cs="Arial"/>
          <w:sz w:val="20"/>
          <w:szCs w:val="24"/>
          <w:lang w:val="en-US"/>
        </w:rPr>
      </w:pPr>
      <w:r w:rsidRPr="00332667">
        <w:rPr>
          <w:rFonts w:ascii="Arial" w:eastAsia="Times New Roman" w:hAnsi="Arial" w:cs="Arial"/>
          <w:sz w:val="20"/>
          <w:szCs w:val="24"/>
          <w:lang w:val="en-US"/>
        </w:rPr>
        <w:t xml:space="preserve">The tables on the following page show the recommended levels of technical competence for assessors, internal verifiers, and external verifiers.  </w:t>
      </w:r>
    </w:p>
    <w:p w:rsidR="00332667" w:rsidRPr="00332667" w:rsidRDefault="00332667" w:rsidP="00332667">
      <w:pPr>
        <w:autoSpaceDE w:val="0"/>
        <w:autoSpaceDN w:val="0"/>
        <w:adjustRightInd w:val="0"/>
        <w:spacing w:after="0" w:line="240" w:lineRule="auto"/>
        <w:outlineLvl w:val="0"/>
        <w:rPr>
          <w:rFonts w:ascii="Arial" w:eastAsia="Times New Roman" w:hAnsi="Arial" w:cs="Arial"/>
          <w:sz w:val="20"/>
          <w:szCs w:val="24"/>
          <w:lang w:val="en-US"/>
        </w:rPr>
      </w:pPr>
    </w:p>
    <w:p w:rsidR="008759CD" w:rsidRDefault="008759CD">
      <w:pPr>
        <w:rPr>
          <w:rFonts w:ascii="Arial" w:eastAsia="Times New Roman" w:hAnsi="Arial" w:cs="Arial"/>
          <w:b/>
          <w:bCs/>
          <w:lang w:val="en-US"/>
        </w:rPr>
      </w:pPr>
      <w:r>
        <w:rPr>
          <w:rFonts w:ascii="Arial" w:eastAsia="Times New Roman" w:hAnsi="Arial" w:cs="Arial"/>
          <w:b/>
          <w:bCs/>
          <w:lang w:val="en-US"/>
        </w:rPr>
        <w:br w:type="page"/>
      </w:r>
    </w:p>
    <w:p w:rsidR="00332667" w:rsidRPr="00332667" w:rsidRDefault="00D07E36" w:rsidP="00332667">
      <w:pPr>
        <w:autoSpaceDE w:val="0"/>
        <w:autoSpaceDN w:val="0"/>
        <w:adjustRightInd w:val="0"/>
        <w:spacing w:after="0" w:line="240" w:lineRule="auto"/>
        <w:rPr>
          <w:rFonts w:ascii="Arial" w:eastAsia="Times New Roman" w:hAnsi="Arial" w:cs="Arial"/>
          <w:lang w:val="en-US"/>
        </w:rPr>
      </w:pPr>
      <w:r w:rsidRPr="00D07E36">
        <w:rPr>
          <w:rFonts w:ascii="Arial" w:eastAsia="Times New Roman" w:hAnsi="Arial" w:cs="Arial"/>
          <w:b/>
          <w:bCs/>
          <w:lang w:val="en-US"/>
        </w:rPr>
        <w:t xml:space="preserve">6. </w:t>
      </w:r>
      <w:r w:rsidR="00332667" w:rsidRPr="00332667">
        <w:rPr>
          <w:rFonts w:ascii="Arial" w:eastAsia="Times New Roman" w:hAnsi="Arial" w:cs="Arial"/>
          <w:b/>
          <w:bCs/>
          <w:lang w:val="en-US"/>
        </w:rPr>
        <w:t>Technical Requirements for Assessors and Verifiers</w:t>
      </w:r>
    </w:p>
    <w:p w:rsidR="00332667" w:rsidRPr="00332667" w:rsidRDefault="00332667" w:rsidP="00332667">
      <w:pPr>
        <w:autoSpaceDE w:val="0"/>
        <w:autoSpaceDN w:val="0"/>
        <w:adjustRightInd w:val="0"/>
        <w:spacing w:after="0" w:line="240" w:lineRule="auto"/>
        <w:rPr>
          <w:rFonts w:ascii="Times New Roman" w:eastAsia="Times New Roman" w:hAnsi="Times New Roman" w:cs="Times New Roman"/>
          <w:sz w:val="24"/>
          <w:szCs w:val="24"/>
          <w:lang w:val="en-US"/>
        </w:rPr>
      </w:pPr>
    </w:p>
    <w:tbl>
      <w:tblPr>
        <w:tblW w:w="9360" w:type="dxa"/>
        <w:tblInd w:w="108" w:type="dxa"/>
        <w:tblLayout w:type="fixed"/>
        <w:tblLook w:val="0000" w:firstRow="0" w:lastRow="0" w:firstColumn="0" w:lastColumn="0" w:noHBand="0" w:noVBand="0"/>
      </w:tblPr>
      <w:tblGrid>
        <w:gridCol w:w="2340"/>
        <w:gridCol w:w="2340"/>
        <w:gridCol w:w="2340"/>
        <w:gridCol w:w="2340"/>
      </w:tblGrid>
      <w:tr w:rsidR="00332667" w:rsidRPr="00332667" w:rsidTr="00875F78">
        <w:tc>
          <w:tcPr>
            <w:tcW w:w="2340" w:type="dxa"/>
            <w:tcBorders>
              <w:top w:val="single" w:sz="6" w:space="0" w:color="auto"/>
              <w:left w:val="single" w:sz="6" w:space="0" w:color="auto"/>
              <w:bottom w:val="single" w:sz="6" w:space="0" w:color="auto"/>
              <w:right w:val="single" w:sz="6" w:space="0" w:color="auto"/>
            </w:tcBorders>
          </w:tcPr>
          <w:p w:rsidR="00332667" w:rsidRPr="00332667" w:rsidRDefault="00332667" w:rsidP="00332667">
            <w:pPr>
              <w:autoSpaceDE w:val="0"/>
              <w:autoSpaceDN w:val="0"/>
              <w:adjustRightInd w:val="0"/>
              <w:spacing w:after="0" w:line="240" w:lineRule="auto"/>
              <w:jc w:val="center"/>
              <w:rPr>
                <w:rFonts w:ascii="Arial" w:eastAsia="Times New Roman" w:hAnsi="Arial" w:cs="Arial"/>
                <w:sz w:val="20"/>
                <w:szCs w:val="20"/>
                <w:lang w:val="en-US"/>
              </w:rPr>
            </w:pPr>
            <w:r w:rsidRPr="00332667">
              <w:rPr>
                <w:rFonts w:ascii="Arial" w:eastAsia="Times New Roman" w:hAnsi="Arial" w:cs="Arial"/>
                <w:b/>
                <w:bCs/>
                <w:sz w:val="20"/>
                <w:szCs w:val="20"/>
                <w:lang w:val="en-US"/>
              </w:rPr>
              <w:t>Position</w:t>
            </w:r>
          </w:p>
        </w:tc>
        <w:tc>
          <w:tcPr>
            <w:tcW w:w="2340" w:type="dxa"/>
            <w:tcBorders>
              <w:top w:val="single" w:sz="6" w:space="0" w:color="auto"/>
              <w:left w:val="single" w:sz="6" w:space="0" w:color="auto"/>
              <w:bottom w:val="single" w:sz="6" w:space="0" w:color="auto"/>
              <w:right w:val="single" w:sz="6" w:space="0" w:color="auto"/>
            </w:tcBorders>
          </w:tcPr>
          <w:p w:rsidR="00332667" w:rsidRPr="00332667" w:rsidRDefault="00332667" w:rsidP="00332667">
            <w:pPr>
              <w:autoSpaceDE w:val="0"/>
              <w:autoSpaceDN w:val="0"/>
              <w:adjustRightInd w:val="0"/>
              <w:spacing w:after="0" w:line="240" w:lineRule="auto"/>
              <w:jc w:val="center"/>
              <w:rPr>
                <w:rFonts w:ascii="Arial" w:eastAsia="Times New Roman" w:hAnsi="Arial" w:cs="Arial"/>
                <w:sz w:val="20"/>
                <w:szCs w:val="20"/>
                <w:lang w:val="en-US"/>
              </w:rPr>
            </w:pPr>
            <w:r w:rsidRPr="00332667">
              <w:rPr>
                <w:rFonts w:ascii="Arial" w:eastAsia="Times New Roman" w:hAnsi="Arial" w:cs="Arial"/>
                <w:b/>
                <w:bCs/>
                <w:sz w:val="20"/>
                <w:szCs w:val="20"/>
                <w:lang w:val="en-US"/>
              </w:rPr>
              <w:t>Prime activity requirements</w:t>
            </w:r>
          </w:p>
        </w:tc>
        <w:tc>
          <w:tcPr>
            <w:tcW w:w="2340" w:type="dxa"/>
            <w:tcBorders>
              <w:top w:val="single" w:sz="6" w:space="0" w:color="auto"/>
              <w:left w:val="single" w:sz="6" w:space="0" w:color="auto"/>
              <w:bottom w:val="single" w:sz="6" w:space="0" w:color="auto"/>
              <w:right w:val="single" w:sz="6" w:space="0" w:color="auto"/>
            </w:tcBorders>
          </w:tcPr>
          <w:p w:rsidR="00332667" w:rsidRPr="00332667" w:rsidRDefault="00332667" w:rsidP="00332667">
            <w:pPr>
              <w:autoSpaceDE w:val="0"/>
              <w:autoSpaceDN w:val="0"/>
              <w:adjustRightInd w:val="0"/>
              <w:spacing w:after="0" w:line="240" w:lineRule="auto"/>
              <w:jc w:val="center"/>
              <w:rPr>
                <w:rFonts w:ascii="Arial" w:eastAsia="Times New Roman" w:hAnsi="Arial" w:cs="Arial"/>
                <w:sz w:val="20"/>
                <w:szCs w:val="20"/>
                <w:lang w:val="en-US"/>
              </w:rPr>
            </w:pPr>
            <w:r w:rsidRPr="00332667">
              <w:rPr>
                <w:rFonts w:ascii="Arial" w:eastAsia="Times New Roman" w:hAnsi="Arial" w:cs="Arial"/>
                <w:b/>
                <w:bCs/>
                <w:sz w:val="20"/>
                <w:szCs w:val="20"/>
                <w:lang w:val="en-US"/>
              </w:rPr>
              <w:t>Support activity requirements</w:t>
            </w:r>
          </w:p>
        </w:tc>
        <w:tc>
          <w:tcPr>
            <w:tcW w:w="2340" w:type="dxa"/>
            <w:tcBorders>
              <w:top w:val="single" w:sz="6" w:space="0" w:color="auto"/>
              <w:left w:val="single" w:sz="6" w:space="0" w:color="auto"/>
              <w:bottom w:val="single" w:sz="6" w:space="0" w:color="auto"/>
              <w:right w:val="single" w:sz="6" w:space="0" w:color="auto"/>
            </w:tcBorders>
          </w:tcPr>
          <w:p w:rsidR="00332667" w:rsidRPr="00332667" w:rsidRDefault="00332667" w:rsidP="00332667">
            <w:pPr>
              <w:autoSpaceDE w:val="0"/>
              <w:autoSpaceDN w:val="0"/>
              <w:adjustRightInd w:val="0"/>
              <w:spacing w:after="0" w:line="240" w:lineRule="auto"/>
              <w:jc w:val="center"/>
              <w:rPr>
                <w:rFonts w:ascii="Arial" w:eastAsia="Times New Roman" w:hAnsi="Arial" w:cs="Arial"/>
                <w:b/>
                <w:bCs/>
                <w:sz w:val="20"/>
                <w:szCs w:val="20"/>
                <w:lang w:val="en-US"/>
              </w:rPr>
            </w:pPr>
            <w:r w:rsidRPr="00332667">
              <w:rPr>
                <w:rFonts w:ascii="Arial" w:eastAsia="Times New Roman" w:hAnsi="Arial" w:cs="Arial"/>
                <w:b/>
                <w:bCs/>
                <w:sz w:val="20"/>
                <w:szCs w:val="20"/>
                <w:lang w:val="en-US"/>
              </w:rPr>
              <w:t>Technical requirements</w:t>
            </w:r>
          </w:p>
          <w:p w:rsidR="00332667" w:rsidRPr="00332667" w:rsidRDefault="00332667" w:rsidP="00332667">
            <w:pPr>
              <w:autoSpaceDE w:val="0"/>
              <w:autoSpaceDN w:val="0"/>
              <w:adjustRightInd w:val="0"/>
              <w:spacing w:after="0" w:line="240" w:lineRule="auto"/>
              <w:jc w:val="center"/>
              <w:rPr>
                <w:rFonts w:ascii="Arial" w:eastAsia="Times New Roman" w:hAnsi="Arial" w:cs="Arial"/>
                <w:sz w:val="20"/>
                <w:szCs w:val="20"/>
                <w:lang w:val="en-US"/>
              </w:rPr>
            </w:pPr>
            <w:r w:rsidRPr="00332667">
              <w:rPr>
                <w:rFonts w:ascii="Arial" w:eastAsia="Times New Roman" w:hAnsi="Arial" w:cs="Arial"/>
                <w:b/>
                <w:bCs/>
                <w:sz w:val="20"/>
                <w:szCs w:val="20"/>
                <w:lang w:val="en-US"/>
              </w:rPr>
              <w:t>(see notes)</w:t>
            </w:r>
          </w:p>
        </w:tc>
      </w:tr>
      <w:tr w:rsidR="00332667" w:rsidRPr="00332667" w:rsidTr="00875F78">
        <w:tc>
          <w:tcPr>
            <w:tcW w:w="2340" w:type="dxa"/>
            <w:tcBorders>
              <w:top w:val="single" w:sz="6" w:space="0" w:color="auto"/>
              <w:left w:val="single" w:sz="6" w:space="0" w:color="auto"/>
              <w:bottom w:val="single" w:sz="6" w:space="0" w:color="auto"/>
              <w:right w:val="single" w:sz="6" w:space="0" w:color="auto"/>
            </w:tcBorders>
          </w:tcPr>
          <w:p w:rsidR="00332667" w:rsidRPr="00332667" w:rsidRDefault="00332667" w:rsidP="00332667">
            <w:pPr>
              <w:autoSpaceDE w:val="0"/>
              <w:autoSpaceDN w:val="0"/>
              <w:adjustRightInd w:val="0"/>
              <w:spacing w:after="0" w:line="240" w:lineRule="auto"/>
              <w:rPr>
                <w:rFonts w:ascii="Arial" w:eastAsia="Times New Roman" w:hAnsi="Arial" w:cs="Arial"/>
                <w:sz w:val="20"/>
                <w:szCs w:val="20"/>
                <w:lang w:val="en-US"/>
              </w:rPr>
            </w:pPr>
            <w:r w:rsidRPr="00332667">
              <w:rPr>
                <w:rFonts w:ascii="Arial" w:eastAsia="Times New Roman" w:hAnsi="Arial" w:cs="Arial"/>
                <w:sz w:val="20"/>
                <w:szCs w:val="20"/>
                <w:lang w:val="en-US"/>
              </w:rPr>
              <w:t>Assessor</w:t>
            </w:r>
          </w:p>
        </w:tc>
        <w:tc>
          <w:tcPr>
            <w:tcW w:w="2340" w:type="dxa"/>
            <w:tcBorders>
              <w:top w:val="single" w:sz="6" w:space="0" w:color="auto"/>
              <w:left w:val="single" w:sz="6" w:space="0" w:color="auto"/>
              <w:bottom w:val="single" w:sz="6" w:space="0" w:color="auto"/>
              <w:right w:val="single" w:sz="6" w:space="0" w:color="auto"/>
            </w:tcBorders>
          </w:tcPr>
          <w:p w:rsidR="00332667" w:rsidRPr="00332667" w:rsidRDefault="00332667" w:rsidP="00332667">
            <w:pPr>
              <w:autoSpaceDE w:val="0"/>
              <w:autoSpaceDN w:val="0"/>
              <w:adjustRightInd w:val="0"/>
              <w:spacing w:after="0" w:line="240" w:lineRule="auto"/>
              <w:rPr>
                <w:rFonts w:ascii="Arial" w:eastAsia="Times New Roman" w:hAnsi="Arial" w:cs="Arial"/>
                <w:sz w:val="20"/>
                <w:szCs w:val="20"/>
                <w:lang w:val="en-US"/>
              </w:rPr>
            </w:pPr>
            <w:r w:rsidRPr="00332667">
              <w:rPr>
                <w:rFonts w:ascii="Arial" w:eastAsia="Times New Roman" w:hAnsi="Arial" w:cs="Arial"/>
                <w:sz w:val="20"/>
                <w:szCs w:val="20"/>
                <w:lang w:val="en-US"/>
              </w:rPr>
              <w:t>Assessment Skills</w:t>
            </w:r>
          </w:p>
        </w:tc>
        <w:tc>
          <w:tcPr>
            <w:tcW w:w="2340" w:type="dxa"/>
            <w:tcBorders>
              <w:top w:val="single" w:sz="6" w:space="0" w:color="auto"/>
              <w:left w:val="single" w:sz="6" w:space="0" w:color="auto"/>
              <w:bottom w:val="single" w:sz="6" w:space="0" w:color="auto"/>
              <w:right w:val="single" w:sz="6" w:space="0" w:color="auto"/>
            </w:tcBorders>
          </w:tcPr>
          <w:p w:rsidR="00332667" w:rsidRPr="00332667" w:rsidRDefault="00332667" w:rsidP="00332667">
            <w:pPr>
              <w:autoSpaceDE w:val="0"/>
              <w:autoSpaceDN w:val="0"/>
              <w:adjustRightInd w:val="0"/>
              <w:spacing w:after="0" w:line="240" w:lineRule="auto"/>
              <w:rPr>
                <w:rFonts w:ascii="Arial" w:eastAsia="Times New Roman" w:hAnsi="Arial" w:cs="Arial"/>
                <w:sz w:val="20"/>
                <w:szCs w:val="20"/>
                <w:lang w:val="en-US"/>
              </w:rPr>
            </w:pPr>
            <w:r w:rsidRPr="00332667">
              <w:rPr>
                <w:rFonts w:ascii="Arial" w:eastAsia="Times New Roman" w:hAnsi="Arial" w:cs="Arial"/>
                <w:sz w:val="20"/>
                <w:szCs w:val="20"/>
                <w:lang w:val="en-US"/>
              </w:rPr>
              <w:t>IV Systems</w:t>
            </w:r>
          </w:p>
        </w:tc>
        <w:tc>
          <w:tcPr>
            <w:tcW w:w="2340" w:type="dxa"/>
            <w:tcBorders>
              <w:top w:val="single" w:sz="6" w:space="0" w:color="auto"/>
              <w:left w:val="single" w:sz="6" w:space="0" w:color="auto"/>
              <w:bottom w:val="single" w:sz="6" w:space="0" w:color="auto"/>
              <w:right w:val="single" w:sz="6" w:space="0" w:color="auto"/>
            </w:tcBorders>
          </w:tcPr>
          <w:p w:rsidR="00332667" w:rsidRPr="00332667" w:rsidRDefault="00332667" w:rsidP="00332667">
            <w:pPr>
              <w:autoSpaceDE w:val="0"/>
              <w:autoSpaceDN w:val="0"/>
              <w:adjustRightInd w:val="0"/>
              <w:spacing w:after="0" w:line="240" w:lineRule="auto"/>
              <w:rPr>
                <w:rFonts w:ascii="Arial" w:eastAsia="Times New Roman" w:hAnsi="Arial" w:cs="Arial"/>
                <w:sz w:val="20"/>
                <w:szCs w:val="20"/>
                <w:lang w:val="en-US"/>
              </w:rPr>
            </w:pPr>
            <w:r w:rsidRPr="00332667">
              <w:rPr>
                <w:rFonts w:ascii="Arial" w:eastAsia="Times New Roman" w:hAnsi="Arial" w:cs="Arial"/>
                <w:sz w:val="20"/>
                <w:szCs w:val="20"/>
                <w:lang w:val="en-US"/>
              </w:rPr>
              <w:t xml:space="preserve">Technical </w:t>
            </w:r>
            <w:r w:rsidRPr="00332667">
              <w:rPr>
                <w:rFonts w:ascii="Arial" w:eastAsia="Times New Roman" w:hAnsi="Arial" w:cs="Arial"/>
                <w:i/>
                <w:iCs/>
                <w:sz w:val="20"/>
                <w:szCs w:val="20"/>
                <w:lang w:val="en-US"/>
              </w:rPr>
              <w:t>competence</w:t>
            </w:r>
            <w:r w:rsidRPr="00332667">
              <w:rPr>
                <w:rFonts w:ascii="Arial" w:eastAsia="Times New Roman" w:hAnsi="Arial" w:cs="Arial"/>
                <w:sz w:val="20"/>
                <w:szCs w:val="20"/>
                <w:lang w:val="en-US"/>
              </w:rPr>
              <w:t xml:space="preserve"> in the areas covered by the qualifications being assessed</w:t>
            </w:r>
          </w:p>
        </w:tc>
      </w:tr>
      <w:tr w:rsidR="00332667" w:rsidRPr="00332667" w:rsidTr="00875F78">
        <w:tc>
          <w:tcPr>
            <w:tcW w:w="2340" w:type="dxa"/>
            <w:tcBorders>
              <w:top w:val="single" w:sz="6" w:space="0" w:color="auto"/>
              <w:left w:val="single" w:sz="6" w:space="0" w:color="auto"/>
              <w:bottom w:val="single" w:sz="6" w:space="0" w:color="auto"/>
              <w:right w:val="single" w:sz="6" w:space="0" w:color="auto"/>
            </w:tcBorders>
          </w:tcPr>
          <w:p w:rsidR="00332667" w:rsidRPr="00332667" w:rsidRDefault="00332667" w:rsidP="00332667">
            <w:pPr>
              <w:autoSpaceDE w:val="0"/>
              <w:autoSpaceDN w:val="0"/>
              <w:adjustRightInd w:val="0"/>
              <w:spacing w:after="0" w:line="240" w:lineRule="auto"/>
              <w:rPr>
                <w:rFonts w:ascii="Arial" w:eastAsia="Times New Roman" w:hAnsi="Arial" w:cs="Arial"/>
                <w:sz w:val="20"/>
                <w:szCs w:val="20"/>
                <w:lang w:val="en-US"/>
              </w:rPr>
            </w:pPr>
            <w:r w:rsidRPr="00332667">
              <w:rPr>
                <w:rFonts w:ascii="Arial" w:eastAsia="Times New Roman" w:hAnsi="Arial" w:cs="Arial"/>
                <w:sz w:val="20"/>
                <w:szCs w:val="20"/>
                <w:lang w:val="en-US"/>
              </w:rPr>
              <w:t>Internal Verifier</w:t>
            </w:r>
          </w:p>
        </w:tc>
        <w:tc>
          <w:tcPr>
            <w:tcW w:w="2340" w:type="dxa"/>
            <w:tcBorders>
              <w:top w:val="single" w:sz="6" w:space="0" w:color="auto"/>
              <w:left w:val="single" w:sz="6" w:space="0" w:color="auto"/>
              <w:bottom w:val="single" w:sz="6" w:space="0" w:color="auto"/>
              <w:right w:val="single" w:sz="6" w:space="0" w:color="auto"/>
            </w:tcBorders>
          </w:tcPr>
          <w:p w:rsidR="00332667" w:rsidRPr="00332667" w:rsidRDefault="00332667" w:rsidP="00332667">
            <w:pPr>
              <w:autoSpaceDE w:val="0"/>
              <w:autoSpaceDN w:val="0"/>
              <w:adjustRightInd w:val="0"/>
              <w:spacing w:after="0" w:line="240" w:lineRule="auto"/>
              <w:rPr>
                <w:rFonts w:ascii="Arial" w:eastAsia="Times New Roman" w:hAnsi="Arial" w:cs="Arial"/>
                <w:sz w:val="20"/>
                <w:szCs w:val="20"/>
                <w:lang w:val="en-US"/>
              </w:rPr>
            </w:pPr>
            <w:r w:rsidRPr="00332667">
              <w:rPr>
                <w:rFonts w:ascii="Arial" w:eastAsia="Times New Roman" w:hAnsi="Arial" w:cs="Arial"/>
                <w:sz w:val="20"/>
                <w:szCs w:val="20"/>
                <w:lang w:val="en-US"/>
              </w:rPr>
              <w:t>Verification Skills</w:t>
            </w:r>
          </w:p>
        </w:tc>
        <w:tc>
          <w:tcPr>
            <w:tcW w:w="2340" w:type="dxa"/>
            <w:tcBorders>
              <w:top w:val="single" w:sz="6" w:space="0" w:color="auto"/>
              <w:left w:val="single" w:sz="6" w:space="0" w:color="auto"/>
              <w:bottom w:val="single" w:sz="6" w:space="0" w:color="auto"/>
              <w:right w:val="single" w:sz="6" w:space="0" w:color="auto"/>
            </w:tcBorders>
          </w:tcPr>
          <w:p w:rsidR="00332667" w:rsidRPr="00332667" w:rsidRDefault="00332667" w:rsidP="00332667">
            <w:pPr>
              <w:autoSpaceDE w:val="0"/>
              <w:autoSpaceDN w:val="0"/>
              <w:adjustRightInd w:val="0"/>
              <w:spacing w:after="0" w:line="240" w:lineRule="auto"/>
              <w:rPr>
                <w:rFonts w:ascii="Arial" w:eastAsia="Times New Roman" w:hAnsi="Arial" w:cs="Arial"/>
                <w:sz w:val="20"/>
                <w:szCs w:val="20"/>
                <w:lang w:val="en-US"/>
              </w:rPr>
            </w:pPr>
            <w:r w:rsidRPr="00332667">
              <w:rPr>
                <w:rFonts w:ascii="Arial" w:eastAsia="Times New Roman" w:hAnsi="Arial" w:cs="Arial"/>
                <w:sz w:val="20"/>
                <w:szCs w:val="20"/>
                <w:lang w:val="en-US"/>
              </w:rPr>
              <w:t>Assessment Knowledge</w:t>
            </w:r>
          </w:p>
        </w:tc>
        <w:tc>
          <w:tcPr>
            <w:tcW w:w="2340" w:type="dxa"/>
            <w:tcBorders>
              <w:top w:val="single" w:sz="6" w:space="0" w:color="auto"/>
              <w:left w:val="single" w:sz="6" w:space="0" w:color="auto"/>
              <w:bottom w:val="single" w:sz="6" w:space="0" w:color="auto"/>
              <w:right w:val="single" w:sz="6" w:space="0" w:color="auto"/>
            </w:tcBorders>
          </w:tcPr>
          <w:p w:rsidR="00332667" w:rsidRPr="00332667" w:rsidRDefault="00332667" w:rsidP="00332667">
            <w:pPr>
              <w:autoSpaceDE w:val="0"/>
              <w:autoSpaceDN w:val="0"/>
              <w:adjustRightInd w:val="0"/>
              <w:spacing w:after="0" w:line="240" w:lineRule="auto"/>
              <w:rPr>
                <w:rFonts w:ascii="Arial" w:eastAsia="Times New Roman" w:hAnsi="Arial" w:cs="Arial"/>
                <w:sz w:val="20"/>
                <w:szCs w:val="20"/>
                <w:lang w:val="en-US"/>
              </w:rPr>
            </w:pPr>
            <w:r w:rsidRPr="00332667">
              <w:rPr>
                <w:rFonts w:ascii="Arial" w:eastAsia="Times New Roman" w:hAnsi="Arial" w:cs="Arial"/>
                <w:sz w:val="20"/>
                <w:szCs w:val="20"/>
                <w:lang w:val="en-US"/>
              </w:rPr>
              <w:t xml:space="preserve">Technical </w:t>
            </w:r>
            <w:r w:rsidRPr="00332667">
              <w:rPr>
                <w:rFonts w:ascii="Arial" w:eastAsia="Times New Roman" w:hAnsi="Arial" w:cs="Arial"/>
                <w:i/>
                <w:iCs/>
                <w:sz w:val="20"/>
                <w:szCs w:val="20"/>
                <w:lang w:val="en-US"/>
              </w:rPr>
              <w:t>understanding</w:t>
            </w:r>
            <w:r w:rsidRPr="00332667">
              <w:rPr>
                <w:rFonts w:ascii="Arial" w:eastAsia="Times New Roman" w:hAnsi="Arial" w:cs="Arial"/>
                <w:sz w:val="20"/>
                <w:szCs w:val="20"/>
                <w:lang w:val="en-US"/>
              </w:rPr>
              <w:t xml:space="preserve"> of the areas covered by the qualifications </w:t>
            </w:r>
          </w:p>
        </w:tc>
      </w:tr>
      <w:tr w:rsidR="00332667" w:rsidRPr="00332667" w:rsidTr="00875F78">
        <w:tc>
          <w:tcPr>
            <w:tcW w:w="2340" w:type="dxa"/>
            <w:tcBorders>
              <w:top w:val="single" w:sz="6" w:space="0" w:color="auto"/>
              <w:left w:val="single" w:sz="6" w:space="0" w:color="auto"/>
              <w:bottom w:val="single" w:sz="6" w:space="0" w:color="auto"/>
              <w:right w:val="single" w:sz="6" w:space="0" w:color="auto"/>
            </w:tcBorders>
          </w:tcPr>
          <w:p w:rsidR="00332667" w:rsidRPr="00332667" w:rsidRDefault="00332667" w:rsidP="00332667">
            <w:pPr>
              <w:autoSpaceDE w:val="0"/>
              <w:autoSpaceDN w:val="0"/>
              <w:adjustRightInd w:val="0"/>
              <w:spacing w:after="0" w:line="240" w:lineRule="auto"/>
              <w:rPr>
                <w:rFonts w:ascii="Arial" w:eastAsia="Times New Roman" w:hAnsi="Arial" w:cs="Arial"/>
                <w:sz w:val="20"/>
                <w:szCs w:val="20"/>
                <w:lang w:val="en-US"/>
              </w:rPr>
            </w:pPr>
            <w:r w:rsidRPr="00332667">
              <w:rPr>
                <w:rFonts w:ascii="Arial" w:eastAsia="Times New Roman" w:hAnsi="Arial" w:cs="Arial"/>
                <w:sz w:val="20"/>
                <w:szCs w:val="20"/>
                <w:lang w:val="en-US"/>
              </w:rPr>
              <w:t>External Verifier</w:t>
            </w:r>
          </w:p>
        </w:tc>
        <w:tc>
          <w:tcPr>
            <w:tcW w:w="2340" w:type="dxa"/>
            <w:tcBorders>
              <w:top w:val="single" w:sz="6" w:space="0" w:color="auto"/>
              <w:left w:val="single" w:sz="6" w:space="0" w:color="auto"/>
              <w:bottom w:val="single" w:sz="6" w:space="0" w:color="auto"/>
              <w:right w:val="single" w:sz="6" w:space="0" w:color="auto"/>
            </w:tcBorders>
          </w:tcPr>
          <w:p w:rsidR="00332667" w:rsidRPr="00332667" w:rsidRDefault="00332667" w:rsidP="00332667">
            <w:pPr>
              <w:autoSpaceDE w:val="0"/>
              <w:autoSpaceDN w:val="0"/>
              <w:adjustRightInd w:val="0"/>
              <w:spacing w:after="0" w:line="240" w:lineRule="auto"/>
              <w:rPr>
                <w:rFonts w:ascii="Arial" w:eastAsia="Times New Roman" w:hAnsi="Arial" w:cs="Arial"/>
                <w:sz w:val="20"/>
                <w:szCs w:val="20"/>
                <w:lang w:val="en-US"/>
              </w:rPr>
            </w:pPr>
            <w:r w:rsidRPr="00332667">
              <w:rPr>
                <w:rFonts w:ascii="Arial" w:eastAsia="Times New Roman" w:hAnsi="Arial" w:cs="Arial"/>
                <w:sz w:val="20"/>
                <w:szCs w:val="20"/>
                <w:lang w:val="en-US"/>
              </w:rPr>
              <w:t>Verification skills</w:t>
            </w:r>
          </w:p>
        </w:tc>
        <w:tc>
          <w:tcPr>
            <w:tcW w:w="2340" w:type="dxa"/>
            <w:tcBorders>
              <w:top w:val="single" w:sz="6" w:space="0" w:color="auto"/>
              <w:left w:val="single" w:sz="6" w:space="0" w:color="auto"/>
              <w:bottom w:val="single" w:sz="6" w:space="0" w:color="auto"/>
              <w:right w:val="single" w:sz="6" w:space="0" w:color="auto"/>
            </w:tcBorders>
          </w:tcPr>
          <w:p w:rsidR="00332667" w:rsidRPr="00332667" w:rsidRDefault="00332667" w:rsidP="00332667">
            <w:pPr>
              <w:autoSpaceDE w:val="0"/>
              <w:autoSpaceDN w:val="0"/>
              <w:adjustRightInd w:val="0"/>
              <w:spacing w:after="0" w:line="240" w:lineRule="auto"/>
              <w:rPr>
                <w:rFonts w:ascii="Arial" w:eastAsia="Times New Roman" w:hAnsi="Arial" w:cs="Arial"/>
                <w:sz w:val="20"/>
                <w:szCs w:val="20"/>
                <w:lang w:val="en-US"/>
              </w:rPr>
            </w:pPr>
            <w:r w:rsidRPr="00332667">
              <w:rPr>
                <w:rFonts w:ascii="Arial" w:eastAsia="Times New Roman" w:hAnsi="Arial" w:cs="Arial"/>
                <w:sz w:val="20"/>
                <w:szCs w:val="20"/>
                <w:lang w:val="en-US"/>
              </w:rPr>
              <w:t>Assessment Understanding</w:t>
            </w:r>
          </w:p>
        </w:tc>
        <w:tc>
          <w:tcPr>
            <w:tcW w:w="2340" w:type="dxa"/>
            <w:tcBorders>
              <w:top w:val="single" w:sz="6" w:space="0" w:color="auto"/>
              <w:left w:val="single" w:sz="6" w:space="0" w:color="auto"/>
              <w:bottom w:val="single" w:sz="6" w:space="0" w:color="auto"/>
              <w:right w:val="single" w:sz="6" w:space="0" w:color="auto"/>
            </w:tcBorders>
          </w:tcPr>
          <w:p w:rsidR="00332667" w:rsidRPr="00332667" w:rsidRDefault="00332667" w:rsidP="00332667">
            <w:pPr>
              <w:autoSpaceDE w:val="0"/>
              <w:autoSpaceDN w:val="0"/>
              <w:adjustRightInd w:val="0"/>
              <w:spacing w:after="0" w:line="240" w:lineRule="auto"/>
              <w:rPr>
                <w:rFonts w:ascii="Arial" w:eastAsia="Times New Roman" w:hAnsi="Arial" w:cs="Arial"/>
                <w:sz w:val="20"/>
                <w:szCs w:val="20"/>
                <w:lang w:val="en-US"/>
              </w:rPr>
            </w:pPr>
            <w:r w:rsidRPr="00332667">
              <w:rPr>
                <w:rFonts w:ascii="Arial" w:eastAsia="Times New Roman" w:hAnsi="Arial" w:cs="Arial"/>
                <w:sz w:val="20"/>
                <w:szCs w:val="20"/>
                <w:lang w:val="en-US"/>
              </w:rPr>
              <w:t xml:space="preserve">Technical </w:t>
            </w:r>
            <w:r w:rsidRPr="00332667">
              <w:rPr>
                <w:rFonts w:ascii="Arial" w:eastAsia="Times New Roman" w:hAnsi="Arial" w:cs="Arial"/>
                <w:i/>
                <w:iCs/>
                <w:sz w:val="20"/>
                <w:szCs w:val="20"/>
                <w:lang w:val="en-US"/>
              </w:rPr>
              <w:t>awareness</w:t>
            </w:r>
            <w:r w:rsidRPr="00332667">
              <w:rPr>
                <w:rFonts w:ascii="Arial" w:eastAsia="Times New Roman" w:hAnsi="Arial" w:cs="Arial"/>
                <w:sz w:val="20"/>
                <w:szCs w:val="20"/>
                <w:lang w:val="en-US"/>
              </w:rPr>
              <w:t xml:space="preserve"> of the areas covered by the qualifications </w:t>
            </w:r>
          </w:p>
        </w:tc>
      </w:tr>
    </w:tbl>
    <w:p w:rsidR="00332667" w:rsidRPr="00332667" w:rsidRDefault="00332667" w:rsidP="00332667">
      <w:pPr>
        <w:autoSpaceDE w:val="0"/>
        <w:autoSpaceDN w:val="0"/>
        <w:adjustRightInd w:val="0"/>
        <w:spacing w:after="0" w:line="240" w:lineRule="auto"/>
        <w:rPr>
          <w:rFonts w:ascii="Arial" w:eastAsia="Times New Roman" w:hAnsi="Arial" w:cs="Arial"/>
          <w:sz w:val="20"/>
          <w:szCs w:val="20"/>
          <w:lang w:val="en-US"/>
        </w:rPr>
      </w:pPr>
    </w:p>
    <w:p w:rsidR="00332667" w:rsidRPr="00332667" w:rsidRDefault="00332667" w:rsidP="00332667">
      <w:pPr>
        <w:autoSpaceDE w:val="0"/>
        <w:autoSpaceDN w:val="0"/>
        <w:adjustRightInd w:val="0"/>
        <w:spacing w:after="0" w:line="240" w:lineRule="auto"/>
        <w:rPr>
          <w:rFonts w:ascii="Arial" w:eastAsia="Times New Roman" w:hAnsi="Arial" w:cs="Arial"/>
          <w:b/>
          <w:bCs/>
          <w:sz w:val="20"/>
          <w:szCs w:val="20"/>
          <w:lang w:val="en-US"/>
        </w:rPr>
      </w:pPr>
      <w:r w:rsidRPr="00332667">
        <w:rPr>
          <w:rFonts w:ascii="Arial" w:eastAsia="Times New Roman" w:hAnsi="Arial" w:cs="Arial"/>
          <w:b/>
          <w:bCs/>
          <w:sz w:val="20"/>
          <w:szCs w:val="20"/>
          <w:lang w:val="en-US"/>
        </w:rPr>
        <w:t>Notes</w:t>
      </w:r>
    </w:p>
    <w:p w:rsidR="00332667" w:rsidRPr="00332667" w:rsidRDefault="00332667" w:rsidP="00332667">
      <w:pPr>
        <w:autoSpaceDE w:val="0"/>
        <w:autoSpaceDN w:val="0"/>
        <w:adjustRightInd w:val="0"/>
        <w:spacing w:after="0" w:line="240" w:lineRule="auto"/>
        <w:rPr>
          <w:rFonts w:ascii="Arial" w:eastAsia="Times New Roman" w:hAnsi="Arial" w:cs="Arial"/>
          <w:sz w:val="20"/>
          <w:szCs w:val="20"/>
          <w:lang w:val="en-US"/>
        </w:rPr>
      </w:pPr>
    </w:p>
    <w:p w:rsidR="00332667" w:rsidRPr="00D07E36" w:rsidRDefault="00332667" w:rsidP="00D07E36">
      <w:pPr>
        <w:pStyle w:val="ListParagraph"/>
        <w:numPr>
          <w:ilvl w:val="0"/>
          <w:numId w:val="6"/>
        </w:numPr>
        <w:autoSpaceDE w:val="0"/>
        <w:autoSpaceDN w:val="0"/>
        <w:adjustRightInd w:val="0"/>
        <w:spacing w:after="0" w:line="240" w:lineRule="auto"/>
        <w:rPr>
          <w:rFonts w:ascii="Arial" w:eastAsia="Times New Roman" w:hAnsi="Arial" w:cs="Arial"/>
          <w:sz w:val="20"/>
          <w:szCs w:val="20"/>
          <w:lang w:val="en-US"/>
        </w:rPr>
      </w:pPr>
      <w:r w:rsidRPr="00D07E36">
        <w:rPr>
          <w:rFonts w:ascii="Arial" w:eastAsia="Times New Roman" w:hAnsi="Arial" w:cs="Arial"/>
          <w:sz w:val="20"/>
          <w:szCs w:val="20"/>
          <w:lang w:val="en-US"/>
        </w:rPr>
        <w:t xml:space="preserve">Technical </w:t>
      </w:r>
      <w:r w:rsidRPr="00D07E36">
        <w:rPr>
          <w:rFonts w:ascii="Arial" w:eastAsia="Times New Roman" w:hAnsi="Arial" w:cs="Arial"/>
          <w:i/>
          <w:iCs/>
          <w:sz w:val="20"/>
          <w:szCs w:val="20"/>
          <w:lang w:val="en-US"/>
        </w:rPr>
        <w:t>competence</w:t>
      </w:r>
      <w:r w:rsidRPr="00D07E36">
        <w:rPr>
          <w:rFonts w:ascii="Arial" w:eastAsia="Times New Roman" w:hAnsi="Arial" w:cs="Arial"/>
          <w:sz w:val="20"/>
          <w:szCs w:val="20"/>
          <w:lang w:val="en-US"/>
        </w:rPr>
        <w:t xml:space="preserve"> is defined here as a combination of practical skills, knowledge, and the ability to apply both of these, in familiar and new situations, within a real working environment.</w:t>
      </w:r>
    </w:p>
    <w:p w:rsidR="00332667" w:rsidRPr="00332667" w:rsidRDefault="00332667" w:rsidP="00D07E36">
      <w:pPr>
        <w:autoSpaceDE w:val="0"/>
        <w:autoSpaceDN w:val="0"/>
        <w:adjustRightInd w:val="0"/>
        <w:spacing w:after="0" w:line="240" w:lineRule="auto"/>
        <w:ind w:left="720" w:hanging="720"/>
        <w:rPr>
          <w:rFonts w:ascii="Arial" w:eastAsia="Times New Roman" w:hAnsi="Arial" w:cs="Arial"/>
          <w:sz w:val="20"/>
          <w:szCs w:val="20"/>
          <w:lang w:val="en-US"/>
        </w:rPr>
      </w:pPr>
    </w:p>
    <w:p w:rsidR="00332667" w:rsidRPr="00D07E36" w:rsidRDefault="00332667" w:rsidP="00D07E36">
      <w:pPr>
        <w:pStyle w:val="ListParagraph"/>
        <w:numPr>
          <w:ilvl w:val="0"/>
          <w:numId w:val="6"/>
        </w:numPr>
        <w:autoSpaceDE w:val="0"/>
        <w:autoSpaceDN w:val="0"/>
        <w:adjustRightInd w:val="0"/>
        <w:spacing w:after="0" w:line="240" w:lineRule="auto"/>
        <w:rPr>
          <w:rFonts w:ascii="Arial" w:eastAsia="Times New Roman" w:hAnsi="Arial" w:cs="Arial"/>
          <w:sz w:val="20"/>
          <w:szCs w:val="20"/>
          <w:lang w:val="en-US"/>
        </w:rPr>
      </w:pPr>
      <w:r w:rsidRPr="00D07E36">
        <w:rPr>
          <w:rFonts w:ascii="Arial" w:eastAsia="Times New Roman" w:hAnsi="Arial" w:cs="Arial"/>
          <w:sz w:val="20"/>
          <w:szCs w:val="20"/>
          <w:lang w:val="en-US"/>
        </w:rPr>
        <w:t xml:space="preserve">Technical </w:t>
      </w:r>
      <w:r w:rsidRPr="00D07E36">
        <w:rPr>
          <w:rFonts w:ascii="Arial" w:eastAsia="Times New Roman" w:hAnsi="Arial" w:cs="Arial"/>
          <w:i/>
          <w:iCs/>
          <w:sz w:val="20"/>
          <w:szCs w:val="20"/>
          <w:lang w:val="en-US"/>
        </w:rPr>
        <w:t>understanding</w:t>
      </w:r>
      <w:r w:rsidRPr="00D07E36">
        <w:rPr>
          <w:rFonts w:ascii="Arial" w:eastAsia="Times New Roman" w:hAnsi="Arial" w:cs="Arial"/>
          <w:sz w:val="20"/>
          <w:szCs w:val="20"/>
          <w:lang w:val="en-US"/>
        </w:rPr>
        <w:t xml:space="preserve"> is defined here as having a good understanding of the technical activities being assessed, together with knowledge of relevant Health &amp; Safety implications and requirements of the assessments.</w:t>
      </w:r>
    </w:p>
    <w:p w:rsidR="00332667" w:rsidRPr="00332667" w:rsidRDefault="00332667" w:rsidP="00D07E36">
      <w:pPr>
        <w:autoSpaceDE w:val="0"/>
        <w:autoSpaceDN w:val="0"/>
        <w:adjustRightInd w:val="0"/>
        <w:spacing w:after="0" w:line="240" w:lineRule="auto"/>
        <w:ind w:left="720" w:hanging="720"/>
        <w:rPr>
          <w:rFonts w:ascii="Arial" w:eastAsia="Times New Roman" w:hAnsi="Arial" w:cs="Arial"/>
          <w:sz w:val="20"/>
          <w:szCs w:val="20"/>
          <w:lang w:val="en-US"/>
        </w:rPr>
      </w:pPr>
    </w:p>
    <w:p w:rsidR="00332667" w:rsidRPr="00D07E36" w:rsidRDefault="00332667" w:rsidP="00D07E36">
      <w:pPr>
        <w:pStyle w:val="ListParagraph"/>
        <w:numPr>
          <w:ilvl w:val="0"/>
          <w:numId w:val="6"/>
        </w:numPr>
        <w:autoSpaceDE w:val="0"/>
        <w:autoSpaceDN w:val="0"/>
        <w:adjustRightInd w:val="0"/>
        <w:spacing w:after="0" w:line="240" w:lineRule="auto"/>
        <w:rPr>
          <w:rFonts w:ascii="Arial" w:eastAsia="Times New Roman" w:hAnsi="Arial" w:cs="Arial"/>
          <w:sz w:val="20"/>
          <w:szCs w:val="20"/>
          <w:lang w:val="en-US"/>
        </w:rPr>
      </w:pPr>
      <w:r w:rsidRPr="00D07E36">
        <w:rPr>
          <w:rFonts w:ascii="Arial" w:eastAsia="Times New Roman" w:hAnsi="Arial" w:cs="Arial"/>
          <w:sz w:val="20"/>
          <w:szCs w:val="20"/>
          <w:lang w:val="en-US"/>
        </w:rPr>
        <w:t xml:space="preserve">Technical </w:t>
      </w:r>
      <w:r w:rsidRPr="00D07E36">
        <w:rPr>
          <w:rFonts w:ascii="Arial" w:eastAsia="Times New Roman" w:hAnsi="Arial" w:cs="Arial"/>
          <w:i/>
          <w:iCs/>
          <w:sz w:val="20"/>
          <w:szCs w:val="20"/>
          <w:lang w:val="en-US"/>
        </w:rPr>
        <w:t>awareness</w:t>
      </w:r>
      <w:r w:rsidRPr="00D07E36">
        <w:rPr>
          <w:rFonts w:ascii="Arial" w:eastAsia="Times New Roman" w:hAnsi="Arial" w:cs="Arial"/>
          <w:sz w:val="20"/>
          <w:szCs w:val="20"/>
          <w:lang w:val="en-US"/>
        </w:rPr>
        <w:t xml:space="preserve"> is defined here as a general overview of the subject area, sufficient to ensure that assessment and portfolio evidence are reliable, and that relevant Health and Safety requirements have been complied with.</w:t>
      </w:r>
    </w:p>
    <w:p w:rsidR="00332667" w:rsidRPr="00332667" w:rsidRDefault="00332667" w:rsidP="00D07E36">
      <w:pPr>
        <w:autoSpaceDE w:val="0"/>
        <w:autoSpaceDN w:val="0"/>
        <w:adjustRightInd w:val="0"/>
        <w:spacing w:after="0" w:line="240" w:lineRule="auto"/>
        <w:ind w:left="720" w:hanging="720"/>
        <w:rPr>
          <w:rFonts w:ascii="Arial" w:eastAsia="Times New Roman" w:hAnsi="Arial" w:cs="Arial"/>
          <w:sz w:val="20"/>
          <w:szCs w:val="20"/>
          <w:lang w:val="en-US"/>
        </w:rPr>
      </w:pPr>
    </w:p>
    <w:p w:rsidR="00332667" w:rsidRPr="00D07E36" w:rsidRDefault="00332667" w:rsidP="00D07E36">
      <w:pPr>
        <w:pStyle w:val="ListParagraph"/>
        <w:numPr>
          <w:ilvl w:val="0"/>
          <w:numId w:val="6"/>
        </w:numPr>
        <w:autoSpaceDE w:val="0"/>
        <w:autoSpaceDN w:val="0"/>
        <w:adjustRightInd w:val="0"/>
        <w:spacing w:after="0" w:line="240" w:lineRule="auto"/>
        <w:rPr>
          <w:rFonts w:ascii="Arial" w:eastAsia="Times New Roman" w:hAnsi="Arial" w:cs="Arial"/>
          <w:sz w:val="20"/>
          <w:szCs w:val="20"/>
          <w:lang w:val="en-US"/>
        </w:rPr>
      </w:pPr>
      <w:r w:rsidRPr="00D07E36">
        <w:rPr>
          <w:rFonts w:ascii="Arial" w:eastAsia="Times New Roman" w:hAnsi="Arial" w:cs="Arial"/>
          <w:sz w:val="20"/>
          <w:szCs w:val="20"/>
          <w:lang w:val="en-US"/>
        </w:rPr>
        <w:t>The competence required by the assessor, internal verifier and external verifier, in the occupational area being assessed, is likely to exist at three levels as indicated by the shaded zones in the following table.</w:t>
      </w:r>
    </w:p>
    <w:p w:rsidR="00332667" w:rsidRPr="00332667" w:rsidRDefault="00332667" w:rsidP="00D07E36">
      <w:pPr>
        <w:autoSpaceDE w:val="0"/>
        <w:autoSpaceDN w:val="0"/>
        <w:adjustRightInd w:val="0"/>
        <w:spacing w:after="0" w:line="240" w:lineRule="auto"/>
        <w:rPr>
          <w:rFonts w:ascii="Arial" w:eastAsia="Times New Roman" w:hAnsi="Arial" w:cs="Arial"/>
          <w:sz w:val="20"/>
          <w:szCs w:val="20"/>
          <w:lang w:val="en-US"/>
        </w:rPr>
      </w:pPr>
    </w:p>
    <w:p w:rsidR="00332667" w:rsidRPr="00332667" w:rsidRDefault="00332667" w:rsidP="00332667">
      <w:pPr>
        <w:autoSpaceDE w:val="0"/>
        <w:autoSpaceDN w:val="0"/>
        <w:adjustRightInd w:val="0"/>
        <w:spacing w:after="0" w:line="240" w:lineRule="auto"/>
        <w:rPr>
          <w:rFonts w:ascii="Arial" w:eastAsia="Times New Roman" w:hAnsi="Arial" w:cs="Arial"/>
          <w:sz w:val="20"/>
          <w:szCs w:val="20"/>
          <w:lang w:val="en-US"/>
        </w:rPr>
      </w:pPr>
    </w:p>
    <w:tbl>
      <w:tblPr>
        <w:tblW w:w="9360" w:type="dxa"/>
        <w:tblInd w:w="108" w:type="dxa"/>
        <w:tblLayout w:type="fixed"/>
        <w:tblLook w:val="0000" w:firstRow="0" w:lastRow="0" w:firstColumn="0" w:lastColumn="0" w:noHBand="0" w:noVBand="0"/>
      </w:tblPr>
      <w:tblGrid>
        <w:gridCol w:w="2340"/>
        <w:gridCol w:w="2340"/>
        <w:gridCol w:w="2340"/>
        <w:gridCol w:w="2340"/>
      </w:tblGrid>
      <w:tr w:rsidR="00332667" w:rsidRPr="00332667" w:rsidTr="00875F78">
        <w:tc>
          <w:tcPr>
            <w:tcW w:w="2340" w:type="dxa"/>
            <w:tcBorders>
              <w:top w:val="single" w:sz="6" w:space="0" w:color="auto"/>
              <w:left w:val="single" w:sz="6" w:space="0" w:color="auto"/>
              <w:bottom w:val="single" w:sz="6" w:space="0" w:color="auto"/>
              <w:right w:val="single" w:sz="6" w:space="0" w:color="auto"/>
            </w:tcBorders>
          </w:tcPr>
          <w:p w:rsidR="00332667" w:rsidRPr="00332667" w:rsidRDefault="00332667" w:rsidP="00332667">
            <w:pPr>
              <w:autoSpaceDE w:val="0"/>
              <w:autoSpaceDN w:val="0"/>
              <w:adjustRightInd w:val="0"/>
              <w:spacing w:after="0" w:line="240" w:lineRule="auto"/>
              <w:jc w:val="right"/>
              <w:rPr>
                <w:rFonts w:ascii="Arial" w:eastAsia="Times New Roman" w:hAnsi="Arial" w:cs="Arial"/>
                <w:sz w:val="20"/>
                <w:szCs w:val="20"/>
                <w:lang w:val="en-US"/>
              </w:rPr>
            </w:pPr>
          </w:p>
          <w:p w:rsidR="00332667" w:rsidRPr="00332667" w:rsidRDefault="00332667" w:rsidP="00332667">
            <w:pPr>
              <w:autoSpaceDE w:val="0"/>
              <w:autoSpaceDN w:val="0"/>
              <w:adjustRightInd w:val="0"/>
              <w:spacing w:after="0" w:line="240" w:lineRule="auto"/>
              <w:jc w:val="right"/>
              <w:rPr>
                <w:rFonts w:ascii="Arial" w:eastAsia="Times New Roman" w:hAnsi="Arial" w:cs="Arial"/>
                <w:sz w:val="20"/>
                <w:szCs w:val="20"/>
                <w:lang w:val="en-US"/>
              </w:rPr>
            </w:pPr>
            <w:r w:rsidRPr="00332667">
              <w:rPr>
                <w:rFonts w:ascii="Arial" w:eastAsia="Times New Roman" w:hAnsi="Arial" w:cs="Arial"/>
                <w:sz w:val="20"/>
                <w:szCs w:val="20"/>
                <w:lang w:val="en-US"/>
              </w:rPr>
              <w:t>Technical Competence</w:t>
            </w:r>
          </w:p>
          <w:p w:rsidR="00332667" w:rsidRPr="00332667" w:rsidRDefault="00332667" w:rsidP="00332667">
            <w:pPr>
              <w:autoSpaceDE w:val="0"/>
              <w:autoSpaceDN w:val="0"/>
              <w:adjustRightInd w:val="0"/>
              <w:spacing w:after="0" w:line="240" w:lineRule="auto"/>
              <w:jc w:val="center"/>
              <w:rPr>
                <w:rFonts w:ascii="Arial" w:eastAsia="Times New Roman" w:hAnsi="Arial" w:cs="Arial"/>
                <w:sz w:val="20"/>
                <w:szCs w:val="20"/>
                <w:lang w:val="en-US"/>
              </w:rPr>
            </w:pPr>
          </w:p>
          <w:p w:rsidR="00332667" w:rsidRPr="00332667" w:rsidRDefault="00332667" w:rsidP="00332667">
            <w:pPr>
              <w:autoSpaceDE w:val="0"/>
              <w:autoSpaceDN w:val="0"/>
              <w:adjustRightInd w:val="0"/>
              <w:spacing w:after="0" w:line="240" w:lineRule="auto"/>
              <w:rPr>
                <w:rFonts w:ascii="Arial" w:eastAsia="Times New Roman" w:hAnsi="Arial" w:cs="Arial"/>
                <w:sz w:val="20"/>
                <w:szCs w:val="20"/>
                <w:lang w:val="en-US"/>
              </w:rPr>
            </w:pPr>
            <w:r w:rsidRPr="00332667">
              <w:rPr>
                <w:rFonts w:ascii="Arial" w:eastAsia="Times New Roman" w:hAnsi="Arial" w:cs="Arial"/>
                <w:sz w:val="20"/>
                <w:szCs w:val="20"/>
                <w:lang w:val="en-US"/>
              </w:rPr>
              <w:t xml:space="preserve">   required by:</w:t>
            </w:r>
          </w:p>
          <w:p w:rsidR="00332667" w:rsidRPr="00332667" w:rsidRDefault="00332667" w:rsidP="00332667">
            <w:pPr>
              <w:autoSpaceDE w:val="0"/>
              <w:autoSpaceDN w:val="0"/>
              <w:adjustRightInd w:val="0"/>
              <w:spacing w:after="0" w:line="240" w:lineRule="auto"/>
              <w:rPr>
                <w:rFonts w:ascii="Arial" w:eastAsia="Times New Roman" w:hAnsi="Arial" w:cs="Arial"/>
                <w:sz w:val="20"/>
                <w:szCs w:val="20"/>
                <w:lang w:val="en-US"/>
              </w:rPr>
            </w:pPr>
          </w:p>
        </w:tc>
        <w:tc>
          <w:tcPr>
            <w:tcW w:w="2340" w:type="dxa"/>
            <w:tcBorders>
              <w:top w:val="single" w:sz="6" w:space="0" w:color="auto"/>
              <w:left w:val="single" w:sz="6" w:space="0" w:color="auto"/>
              <w:bottom w:val="single" w:sz="6" w:space="0" w:color="auto"/>
              <w:right w:val="single" w:sz="6" w:space="0" w:color="auto"/>
            </w:tcBorders>
          </w:tcPr>
          <w:p w:rsidR="00332667" w:rsidRPr="00332667" w:rsidRDefault="00332667" w:rsidP="00332667">
            <w:pPr>
              <w:autoSpaceDE w:val="0"/>
              <w:autoSpaceDN w:val="0"/>
              <w:adjustRightInd w:val="0"/>
              <w:spacing w:after="0" w:line="240" w:lineRule="auto"/>
              <w:rPr>
                <w:rFonts w:ascii="Arial" w:eastAsia="Times New Roman" w:hAnsi="Arial" w:cs="Arial"/>
                <w:sz w:val="20"/>
                <w:szCs w:val="20"/>
                <w:lang w:val="en-US"/>
              </w:rPr>
            </w:pPr>
            <w:r w:rsidRPr="00332667">
              <w:rPr>
                <w:rFonts w:ascii="Arial" w:eastAsia="Times New Roman" w:hAnsi="Arial" w:cs="Arial"/>
                <w:sz w:val="20"/>
                <w:szCs w:val="20"/>
                <w:lang w:val="en-US"/>
              </w:rPr>
              <w:t xml:space="preserve">An ability to </w:t>
            </w:r>
            <w:r w:rsidRPr="00332667">
              <w:rPr>
                <w:rFonts w:ascii="Arial" w:eastAsia="Times New Roman" w:hAnsi="Arial" w:cs="Arial"/>
                <w:i/>
                <w:iCs/>
                <w:sz w:val="20"/>
                <w:szCs w:val="20"/>
                <w:lang w:val="en-US"/>
              </w:rPr>
              <w:t>discuss</w:t>
            </w:r>
            <w:r w:rsidRPr="00332667">
              <w:rPr>
                <w:rFonts w:ascii="Arial" w:eastAsia="Times New Roman" w:hAnsi="Arial" w:cs="Arial"/>
                <w:sz w:val="20"/>
                <w:szCs w:val="20"/>
                <w:lang w:val="en-US"/>
              </w:rPr>
              <w:t xml:space="preserve"> the general principles of the competences being assessed</w:t>
            </w:r>
          </w:p>
        </w:tc>
        <w:tc>
          <w:tcPr>
            <w:tcW w:w="2340" w:type="dxa"/>
            <w:tcBorders>
              <w:top w:val="single" w:sz="6" w:space="0" w:color="auto"/>
              <w:left w:val="single" w:sz="6" w:space="0" w:color="auto"/>
              <w:bottom w:val="single" w:sz="6" w:space="0" w:color="auto"/>
              <w:right w:val="single" w:sz="6" w:space="0" w:color="auto"/>
            </w:tcBorders>
          </w:tcPr>
          <w:p w:rsidR="00332667" w:rsidRPr="00332667" w:rsidRDefault="00332667" w:rsidP="00332667">
            <w:pPr>
              <w:autoSpaceDE w:val="0"/>
              <w:autoSpaceDN w:val="0"/>
              <w:adjustRightInd w:val="0"/>
              <w:spacing w:after="0" w:line="240" w:lineRule="auto"/>
              <w:rPr>
                <w:rFonts w:ascii="Arial" w:eastAsia="Times New Roman" w:hAnsi="Arial" w:cs="Arial"/>
                <w:sz w:val="20"/>
                <w:szCs w:val="20"/>
                <w:lang w:val="en-US"/>
              </w:rPr>
            </w:pPr>
            <w:r w:rsidRPr="00332667">
              <w:rPr>
                <w:rFonts w:ascii="Arial" w:eastAsia="Times New Roman" w:hAnsi="Arial" w:cs="Arial"/>
                <w:sz w:val="20"/>
                <w:szCs w:val="20"/>
                <w:lang w:val="en-US"/>
              </w:rPr>
              <w:t xml:space="preserve">An ability to </w:t>
            </w:r>
            <w:r w:rsidRPr="00332667">
              <w:rPr>
                <w:rFonts w:ascii="Arial" w:eastAsia="Times New Roman" w:hAnsi="Arial" w:cs="Arial"/>
                <w:i/>
                <w:iCs/>
                <w:sz w:val="20"/>
                <w:szCs w:val="20"/>
                <w:lang w:val="en-US"/>
              </w:rPr>
              <w:t>describe</w:t>
            </w:r>
            <w:r w:rsidRPr="00332667">
              <w:rPr>
                <w:rFonts w:ascii="Arial" w:eastAsia="Times New Roman" w:hAnsi="Arial" w:cs="Arial"/>
                <w:sz w:val="20"/>
                <w:szCs w:val="20"/>
                <w:lang w:val="en-US"/>
              </w:rPr>
              <w:t xml:space="preserve"> the practical aspects of the competence being assessed</w:t>
            </w:r>
          </w:p>
        </w:tc>
        <w:tc>
          <w:tcPr>
            <w:tcW w:w="2340" w:type="dxa"/>
            <w:tcBorders>
              <w:top w:val="single" w:sz="6" w:space="0" w:color="auto"/>
              <w:left w:val="single" w:sz="6" w:space="0" w:color="auto"/>
              <w:bottom w:val="single" w:sz="6" w:space="0" w:color="auto"/>
              <w:right w:val="single" w:sz="6" w:space="0" w:color="auto"/>
            </w:tcBorders>
          </w:tcPr>
          <w:p w:rsidR="00332667" w:rsidRPr="00332667" w:rsidRDefault="00332667" w:rsidP="00332667">
            <w:pPr>
              <w:autoSpaceDE w:val="0"/>
              <w:autoSpaceDN w:val="0"/>
              <w:adjustRightInd w:val="0"/>
              <w:spacing w:after="0" w:line="240" w:lineRule="auto"/>
              <w:rPr>
                <w:rFonts w:ascii="Arial" w:eastAsia="Times New Roman" w:hAnsi="Arial" w:cs="Arial"/>
                <w:sz w:val="20"/>
                <w:szCs w:val="20"/>
                <w:lang w:val="en-US"/>
              </w:rPr>
            </w:pPr>
            <w:r w:rsidRPr="00332667">
              <w:rPr>
                <w:rFonts w:ascii="Arial" w:eastAsia="Times New Roman" w:hAnsi="Arial" w:cs="Arial"/>
                <w:sz w:val="20"/>
                <w:szCs w:val="20"/>
                <w:lang w:val="en-US"/>
              </w:rPr>
              <w:t xml:space="preserve">An ability to </w:t>
            </w:r>
            <w:r w:rsidRPr="00332667">
              <w:rPr>
                <w:rFonts w:ascii="Arial" w:eastAsia="Times New Roman" w:hAnsi="Arial" w:cs="Arial"/>
                <w:i/>
                <w:iCs/>
                <w:sz w:val="20"/>
                <w:szCs w:val="20"/>
                <w:lang w:val="en-US"/>
              </w:rPr>
              <w:t>demonstrate</w:t>
            </w:r>
            <w:r w:rsidRPr="00332667">
              <w:rPr>
                <w:rFonts w:ascii="Arial" w:eastAsia="Times New Roman" w:hAnsi="Arial" w:cs="Arial"/>
                <w:sz w:val="20"/>
                <w:szCs w:val="20"/>
                <w:lang w:val="en-US"/>
              </w:rPr>
              <w:t xml:space="preserve"> the practical competences being assessed</w:t>
            </w:r>
          </w:p>
        </w:tc>
      </w:tr>
      <w:tr w:rsidR="00332667" w:rsidRPr="00332667" w:rsidTr="00875F78">
        <w:tc>
          <w:tcPr>
            <w:tcW w:w="2340" w:type="dxa"/>
            <w:tcBorders>
              <w:top w:val="single" w:sz="6" w:space="0" w:color="auto"/>
              <w:left w:val="single" w:sz="6" w:space="0" w:color="auto"/>
              <w:bottom w:val="single" w:sz="6" w:space="0" w:color="auto"/>
              <w:right w:val="single" w:sz="6" w:space="0" w:color="auto"/>
            </w:tcBorders>
          </w:tcPr>
          <w:p w:rsidR="00332667" w:rsidRPr="00332667" w:rsidRDefault="00332667" w:rsidP="00332667">
            <w:pPr>
              <w:autoSpaceDE w:val="0"/>
              <w:autoSpaceDN w:val="0"/>
              <w:adjustRightInd w:val="0"/>
              <w:spacing w:after="0" w:line="240" w:lineRule="auto"/>
              <w:rPr>
                <w:rFonts w:ascii="Arial" w:eastAsia="Times New Roman" w:hAnsi="Arial" w:cs="Arial"/>
                <w:sz w:val="20"/>
                <w:szCs w:val="20"/>
                <w:lang w:val="en-US"/>
              </w:rPr>
            </w:pPr>
            <w:r w:rsidRPr="00332667">
              <w:rPr>
                <w:rFonts w:ascii="Arial" w:eastAsia="Times New Roman" w:hAnsi="Arial" w:cs="Arial"/>
                <w:sz w:val="20"/>
                <w:szCs w:val="20"/>
                <w:lang w:val="en-US"/>
              </w:rPr>
              <w:t>Assessor</w:t>
            </w:r>
          </w:p>
        </w:tc>
        <w:tc>
          <w:tcPr>
            <w:tcW w:w="2340" w:type="dxa"/>
            <w:tcBorders>
              <w:top w:val="single" w:sz="6" w:space="0" w:color="auto"/>
              <w:left w:val="single" w:sz="6" w:space="0" w:color="auto"/>
              <w:bottom w:val="single" w:sz="6" w:space="0" w:color="auto"/>
              <w:right w:val="single" w:sz="6" w:space="0" w:color="auto"/>
            </w:tcBorders>
            <w:shd w:val="clear" w:color="FFFFFF" w:fill="C0C0C0"/>
          </w:tcPr>
          <w:p w:rsidR="00332667" w:rsidRPr="00332667" w:rsidRDefault="00332667" w:rsidP="00332667">
            <w:pPr>
              <w:spacing w:after="0" w:line="240" w:lineRule="auto"/>
              <w:rPr>
                <w:rFonts w:ascii="Arial" w:eastAsia="Times New Roman" w:hAnsi="Arial" w:cs="Arial"/>
                <w:sz w:val="20"/>
                <w:szCs w:val="20"/>
              </w:rPr>
            </w:pPr>
          </w:p>
        </w:tc>
        <w:tc>
          <w:tcPr>
            <w:tcW w:w="2340" w:type="dxa"/>
            <w:tcBorders>
              <w:top w:val="single" w:sz="6" w:space="0" w:color="auto"/>
              <w:left w:val="single" w:sz="6" w:space="0" w:color="auto"/>
              <w:bottom w:val="single" w:sz="6" w:space="0" w:color="auto"/>
              <w:right w:val="single" w:sz="6" w:space="0" w:color="auto"/>
            </w:tcBorders>
            <w:shd w:val="clear" w:color="FFFFFF" w:fill="C0C0C0"/>
          </w:tcPr>
          <w:p w:rsidR="00332667" w:rsidRPr="00332667" w:rsidRDefault="00332667" w:rsidP="00332667">
            <w:pPr>
              <w:spacing w:after="0" w:line="240" w:lineRule="auto"/>
              <w:rPr>
                <w:rFonts w:ascii="Arial" w:eastAsia="Times New Roman" w:hAnsi="Arial" w:cs="Arial"/>
                <w:sz w:val="20"/>
                <w:szCs w:val="20"/>
              </w:rPr>
            </w:pPr>
          </w:p>
        </w:tc>
        <w:tc>
          <w:tcPr>
            <w:tcW w:w="2340" w:type="dxa"/>
            <w:tcBorders>
              <w:top w:val="single" w:sz="6" w:space="0" w:color="auto"/>
              <w:left w:val="single" w:sz="6" w:space="0" w:color="auto"/>
              <w:bottom w:val="single" w:sz="6" w:space="0" w:color="auto"/>
              <w:right w:val="single" w:sz="6" w:space="0" w:color="auto"/>
            </w:tcBorders>
            <w:shd w:val="clear" w:color="FFFFFF" w:fill="C0C0C0"/>
          </w:tcPr>
          <w:p w:rsidR="00332667" w:rsidRPr="00332667" w:rsidRDefault="00332667" w:rsidP="00332667">
            <w:pPr>
              <w:spacing w:after="0" w:line="240" w:lineRule="auto"/>
              <w:rPr>
                <w:rFonts w:ascii="Arial" w:eastAsia="Times New Roman" w:hAnsi="Arial" w:cs="Arial"/>
                <w:sz w:val="20"/>
                <w:szCs w:val="20"/>
              </w:rPr>
            </w:pPr>
          </w:p>
        </w:tc>
      </w:tr>
      <w:tr w:rsidR="00332667" w:rsidRPr="00332667" w:rsidTr="00875F78">
        <w:tc>
          <w:tcPr>
            <w:tcW w:w="2340" w:type="dxa"/>
            <w:tcBorders>
              <w:top w:val="single" w:sz="6" w:space="0" w:color="auto"/>
              <w:left w:val="single" w:sz="6" w:space="0" w:color="auto"/>
              <w:bottom w:val="single" w:sz="6" w:space="0" w:color="auto"/>
              <w:right w:val="single" w:sz="6" w:space="0" w:color="auto"/>
            </w:tcBorders>
          </w:tcPr>
          <w:p w:rsidR="00332667" w:rsidRPr="00332667" w:rsidRDefault="00332667" w:rsidP="00332667">
            <w:pPr>
              <w:autoSpaceDE w:val="0"/>
              <w:autoSpaceDN w:val="0"/>
              <w:adjustRightInd w:val="0"/>
              <w:spacing w:after="0" w:line="240" w:lineRule="auto"/>
              <w:rPr>
                <w:rFonts w:ascii="Arial" w:eastAsia="Times New Roman" w:hAnsi="Arial" w:cs="Arial"/>
                <w:sz w:val="20"/>
                <w:szCs w:val="20"/>
                <w:lang w:val="en-US"/>
              </w:rPr>
            </w:pPr>
            <w:r w:rsidRPr="00332667">
              <w:rPr>
                <w:rFonts w:ascii="Arial" w:eastAsia="Times New Roman" w:hAnsi="Arial" w:cs="Arial"/>
                <w:sz w:val="20"/>
                <w:szCs w:val="20"/>
                <w:lang w:val="en-US"/>
              </w:rPr>
              <w:t>Internal Verifier</w:t>
            </w:r>
          </w:p>
        </w:tc>
        <w:tc>
          <w:tcPr>
            <w:tcW w:w="2340" w:type="dxa"/>
            <w:tcBorders>
              <w:top w:val="single" w:sz="6" w:space="0" w:color="auto"/>
              <w:left w:val="single" w:sz="6" w:space="0" w:color="auto"/>
              <w:bottom w:val="single" w:sz="6" w:space="0" w:color="auto"/>
              <w:right w:val="single" w:sz="6" w:space="0" w:color="auto"/>
            </w:tcBorders>
            <w:shd w:val="clear" w:color="FFFFFF" w:fill="C0C0C0"/>
          </w:tcPr>
          <w:p w:rsidR="00332667" w:rsidRPr="00332667" w:rsidRDefault="00332667" w:rsidP="00332667">
            <w:pPr>
              <w:spacing w:after="0" w:line="240" w:lineRule="auto"/>
              <w:rPr>
                <w:rFonts w:ascii="Arial" w:eastAsia="Times New Roman" w:hAnsi="Arial" w:cs="Arial"/>
                <w:sz w:val="20"/>
                <w:szCs w:val="20"/>
              </w:rPr>
            </w:pPr>
          </w:p>
        </w:tc>
        <w:tc>
          <w:tcPr>
            <w:tcW w:w="2340" w:type="dxa"/>
            <w:tcBorders>
              <w:top w:val="single" w:sz="6" w:space="0" w:color="auto"/>
              <w:left w:val="single" w:sz="6" w:space="0" w:color="auto"/>
              <w:bottom w:val="single" w:sz="6" w:space="0" w:color="auto"/>
              <w:right w:val="single" w:sz="6" w:space="0" w:color="auto"/>
            </w:tcBorders>
            <w:shd w:val="clear" w:color="FFFFFF" w:fill="C0C0C0"/>
          </w:tcPr>
          <w:p w:rsidR="00332667" w:rsidRPr="00332667" w:rsidRDefault="00332667" w:rsidP="00332667">
            <w:pPr>
              <w:spacing w:after="0" w:line="240" w:lineRule="auto"/>
              <w:rPr>
                <w:rFonts w:ascii="Arial" w:eastAsia="Times New Roman" w:hAnsi="Arial" w:cs="Arial"/>
                <w:sz w:val="20"/>
                <w:szCs w:val="20"/>
              </w:rPr>
            </w:pPr>
          </w:p>
        </w:tc>
        <w:tc>
          <w:tcPr>
            <w:tcW w:w="2340" w:type="dxa"/>
            <w:tcBorders>
              <w:top w:val="single" w:sz="6" w:space="0" w:color="auto"/>
              <w:left w:val="single" w:sz="6" w:space="0" w:color="auto"/>
              <w:bottom w:val="single" w:sz="6" w:space="0" w:color="auto"/>
              <w:right w:val="single" w:sz="6" w:space="0" w:color="auto"/>
            </w:tcBorders>
          </w:tcPr>
          <w:p w:rsidR="00332667" w:rsidRPr="00332667" w:rsidRDefault="00332667" w:rsidP="00332667">
            <w:pPr>
              <w:spacing w:after="0" w:line="240" w:lineRule="auto"/>
              <w:rPr>
                <w:rFonts w:ascii="Arial" w:eastAsia="Times New Roman" w:hAnsi="Arial" w:cs="Arial"/>
                <w:sz w:val="20"/>
                <w:szCs w:val="20"/>
              </w:rPr>
            </w:pPr>
          </w:p>
        </w:tc>
      </w:tr>
      <w:tr w:rsidR="00332667" w:rsidRPr="00332667" w:rsidTr="00875F78">
        <w:tc>
          <w:tcPr>
            <w:tcW w:w="2340" w:type="dxa"/>
            <w:tcBorders>
              <w:top w:val="single" w:sz="6" w:space="0" w:color="auto"/>
              <w:left w:val="single" w:sz="6" w:space="0" w:color="auto"/>
              <w:bottom w:val="single" w:sz="6" w:space="0" w:color="auto"/>
              <w:right w:val="single" w:sz="6" w:space="0" w:color="auto"/>
            </w:tcBorders>
          </w:tcPr>
          <w:p w:rsidR="00332667" w:rsidRPr="00332667" w:rsidRDefault="00332667" w:rsidP="00332667">
            <w:pPr>
              <w:autoSpaceDE w:val="0"/>
              <w:autoSpaceDN w:val="0"/>
              <w:adjustRightInd w:val="0"/>
              <w:spacing w:after="0" w:line="240" w:lineRule="auto"/>
              <w:rPr>
                <w:rFonts w:ascii="Arial" w:eastAsia="Times New Roman" w:hAnsi="Arial" w:cs="Arial"/>
                <w:sz w:val="20"/>
                <w:szCs w:val="20"/>
                <w:lang w:val="en-US"/>
              </w:rPr>
            </w:pPr>
            <w:r w:rsidRPr="00332667">
              <w:rPr>
                <w:rFonts w:ascii="Arial" w:eastAsia="Times New Roman" w:hAnsi="Arial" w:cs="Arial"/>
                <w:sz w:val="20"/>
                <w:szCs w:val="20"/>
                <w:lang w:val="en-US"/>
              </w:rPr>
              <w:t>External Verifier</w:t>
            </w:r>
          </w:p>
        </w:tc>
        <w:tc>
          <w:tcPr>
            <w:tcW w:w="2340" w:type="dxa"/>
            <w:tcBorders>
              <w:top w:val="single" w:sz="6" w:space="0" w:color="auto"/>
              <w:left w:val="single" w:sz="6" w:space="0" w:color="auto"/>
              <w:bottom w:val="single" w:sz="6" w:space="0" w:color="auto"/>
              <w:right w:val="single" w:sz="6" w:space="0" w:color="auto"/>
            </w:tcBorders>
            <w:shd w:val="clear" w:color="FFFFFF" w:fill="C0C0C0"/>
          </w:tcPr>
          <w:p w:rsidR="00332667" w:rsidRPr="00332667" w:rsidRDefault="00332667" w:rsidP="00332667">
            <w:pPr>
              <w:spacing w:after="0" w:line="240" w:lineRule="auto"/>
              <w:rPr>
                <w:rFonts w:ascii="Arial" w:eastAsia="Times New Roman" w:hAnsi="Arial" w:cs="Arial"/>
                <w:sz w:val="20"/>
                <w:szCs w:val="20"/>
              </w:rPr>
            </w:pPr>
          </w:p>
        </w:tc>
        <w:tc>
          <w:tcPr>
            <w:tcW w:w="2340" w:type="dxa"/>
            <w:tcBorders>
              <w:top w:val="single" w:sz="6" w:space="0" w:color="auto"/>
              <w:left w:val="single" w:sz="6" w:space="0" w:color="auto"/>
              <w:bottom w:val="single" w:sz="6" w:space="0" w:color="auto"/>
              <w:right w:val="single" w:sz="6" w:space="0" w:color="auto"/>
            </w:tcBorders>
          </w:tcPr>
          <w:p w:rsidR="00332667" w:rsidRPr="00332667" w:rsidRDefault="00332667" w:rsidP="00332667">
            <w:pPr>
              <w:spacing w:after="0" w:line="240" w:lineRule="auto"/>
              <w:rPr>
                <w:rFonts w:ascii="Arial" w:eastAsia="Times New Roman" w:hAnsi="Arial" w:cs="Arial"/>
                <w:sz w:val="20"/>
                <w:szCs w:val="20"/>
              </w:rPr>
            </w:pPr>
          </w:p>
        </w:tc>
        <w:tc>
          <w:tcPr>
            <w:tcW w:w="2340" w:type="dxa"/>
            <w:tcBorders>
              <w:top w:val="single" w:sz="6" w:space="0" w:color="auto"/>
              <w:left w:val="single" w:sz="6" w:space="0" w:color="auto"/>
              <w:bottom w:val="single" w:sz="6" w:space="0" w:color="auto"/>
              <w:right w:val="single" w:sz="6" w:space="0" w:color="auto"/>
            </w:tcBorders>
          </w:tcPr>
          <w:p w:rsidR="00332667" w:rsidRPr="00332667" w:rsidRDefault="00332667" w:rsidP="00332667">
            <w:pPr>
              <w:spacing w:after="0" w:line="240" w:lineRule="auto"/>
              <w:rPr>
                <w:rFonts w:ascii="Arial" w:eastAsia="Times New Roman" w:hAnsi="Arial" w:cs="Arial"/>
                <w:sz w:val="20"/>
                <w:szCs w:val="20"/>
              </w:rPr>
            </w:pPr>
          </w:p>
        </w:tc>
      </w:tr>
    </w:tbl>
    <w:p w:rsidR="00332667" w:rsidRDefault="00332667" w:rsidP="003C6A73">
      <w:pPr>
        <w:pStyle w:val="Default"/>
        <w:rPr>
          <w:b/>
          <w:bCs/>
          <w:sz w:val="20"/>
          <w:szCs w:val="20"/>
        </w:rPr>
      </w:pPr>
    </w:p>
    <w:p w:rsidR="00332667" w:rsidRDefault="00332667" w:rsidP="003C6A73">
      <w:pPr>
        <w:pStyle w:val="Default"/>
        <w:rPr>
          <w:b/>
          <w:bCs/>
          <w:sz w:val="20"/>
          <w:szCs w:val="20"/>
        </w:rPr>
      </w:pPr>
    </w:p>
    <w:p w:rsidR="009704D8" w:rsidRPr="008511B7" w:rsidRDefault="00D07E36" w:rsidP="009704D8">
      <w:pPr>
        <w:pStyle w:val="Default"/>
        <w:rPr>
          <w:sz w:val="22"/>
          <w:szCs w:val="22"/>
        </w:rPr>
      </w:pPr>
      <w:r w:rsidRPr="008511B7">
        <w:rPr>
          <w:b/>
          <w:bCs/>
          <w:sz w:val="22"/>
          <w:szCs w:val="22"/>
        </w:rPr>
        <w:t xml:space="preserve">7. </w:t>
      </w:r>
      <w:r w:rsidR="009704D8" w:rsidRPr="008511B7">
        <w:rPr>
          <w:b/>
          <w:bCs/>
          <w:sz w:val="22"/>
          <w:szCs w:val="22"/>
        </w:rPr>
        <w:t xml:space="preserve">Assessment Environment </w:t>
      </w:r>
    </w:p>
    <w:p w:rsidR="00D07E36" w:rsidRDefault="00D07E36" w:rsidP="009704D8">
      <w:pPr>
        <w:pStyle w:val="Default"/>
        <w:rPr>
          <w:sz w:val="20"/>
          <w:szCs w:val="20"/>
        </w:rPr>
      </w:pPr>
    </w:p>
    <w:p w:rsidR="009704D8" w:rsidRDefault="009704D8" w:rsidP="009704D8">
      <w:pPr>
        <w:pStyle w:val="Default"/>
        <w:rPr>
          <w:sz w:val="20"/>
          <w:szCs w:val="20"/>
        </w:rPr>
      </w:pPr>
      <w:r>
        <w:rPr>
          <w:sz w:val="20"/>
          <w:szCs w:val="20"/>
        </w:rPr>
        <w:t>The evidence put forward for this qualification and/or units can only be regarded</w:t>
      </w:r>
      <w:r w:rsidR="002D55AD">
        <w:rPr>
          <w:sz w:val="20"/>
          <w:szCs w:val="20"/>
        </w:rPr>
        <w:t xml:space="preserve"> as </w:t>
      </w:r>
      <w:r>
        <w:rPr>
          <w:sz w:val="20"/>
          <w:szCs w:val="20"/>
        </w:rPr>
        <w:t xml:space="preserve">valid, reliable, sufficient and authentic if demonstrated in the working environment. Evidence put forward for assessment must be obtained from the working environment and </w:t>
      </w:r>
      <w:r w:rsidR="008511B7">
        <w:rPr>
          <w:sz w:val="20"/>
          <w:szCs w:val="20"/>
        </w:rPr>
        <w:t>is</w:t>
      </w:r>
      <w:r>
        <w:rPr>
          <w:sz w:val="20"/>
          <w:szCs w:val="20"/>
        </w:rPr>
        <w:t xml:space="preserve"> clearly attributable to the candidate. However, in certain circumstances, simulation/replication of work activities may be acceptable. </w:t>
      </w:r>
    </w:p>
    <w:p w:rsidR="008511B7" w:rsidRDefault="008511B7" w:rsidP="009704D8">
      <w:pPr>
        <w:pStyle w:val="Default"/>
        <w:rPr>
          <w:sz w:val="20"/>
          <w:szCs w:val="20"/>
        </w:rPr>
      </w:pPr>
    </w:p>
    <w:p w:rsidR="008511B7" w:rsidRPr="008511B7" w:rsidRDefault="008511B7" w:rsidP="009704D8">
      <w:pPr>
        <w:pStyle w:val="Default"/>
        <w:rPr>
          <w:sz w:val="20"/>
          <w:szCs w:val="20"/>
        </w:rPr>
      </w:pPr>
      <w:r w:rsidRPr="008511B7">
        <w:rPr>
          <w:b/>
          <w:bCs/>
          <w:sz w:val="20"/>
          <w:szCs w:val="20"/>
          <w:lang w:val="en-US"/>
        </w:rPr>
        <w:t>Simulation/Replication</w:t>
      </w:r>
    </w:p>
    <w:p w:rsidR="008511B7" w:rsidRDefault="008511B7" w:rsidP="009704D8">
      <w:pPr>
        <w:pStyle w:val="Default"/>
        <w:rPr>
          <w:sz w:val="20"/>
          <w:szCs w:val="20"/>
        </w:rPr>
      </w:pPr>
    </w:p>
    <w:p w:rsidR="009704D8" w:rsidRDefault="009704D8" w:rsidP="009704D8">
      <w:pPr>
        <w:pStyle w:val="Default"/>
        <w:rPr>
          <w:sz w:val="20"/>
          <w:szCs w:val="20"/>
        </w:rPr>
      </w:pPr>
      <w:r>
        <w:rPr>
          <w:sz w:val="20"/>
          <w:szCs w:val="20"/>
        </w:rPr>
        <w:t xml:space="preserve">Where simulation/replication is considered necessary, assessors must be confident that the environment simulates/replicates the workplace to such an extent that competencies gained will be fully transferable to the workplace. In this case assessors must clearly identify those aspects of the workplace that are critical to performance, and make sure that they have been replicated satisfactorily. Where simulation/replication is involved, assessors must obtain agreement with internal and external verifiers before assessing any candidates. </w:t>
      </w:r>
    </w:p>
    <w:p w:rsidR="008511B7" w:rsidRDefault="008511B7" w:rsidP="009704D8">
      <w:pPr>
        <w:pStyle w:val="Default"/>
        <w:rPr>
          <w:sz w:val="20"/>
          <w:szCs w:val="20"/>
        </w:rPr>
      </w:pPr>
    </w:p>
    <w:p w:rsidR="009704D8" w:rsidRDefault="009704D8" w:rsidP="009704D8">
      <w:pPr>
        <w:pStyle w:val="Default"/>
        <w:rPr>
          <w:sz w:val="20"/>
          <w:szCs w:val="20"/>
        </w:rPr>
      </w:pPr>
      <w:r>
        <w:rPr>
          <w:sz w:val="20"/>
          <w:szCs w:val="20"/>
        </w:rPr>
        <w:t xml:space="preserve">Examples of critical aspects could be: </w:t>
      </w:r>
    </w:p>
    <w:p w:rsidR="009704D8" w:rsidRDefault="009704D8" w:rsidP="009704D8">
      <w:pPr>
        <w:pStyle w:val="Default"/>
        <w:spacing w:after="2"/>
        <w:rPr>
          <w:sz w:val="20"/>
          <w:szCs w:val="20"/>
        </w:rPr>
      </w:pPr>
      <w:r>
        <w:rPr>
          <w:rFonts w:ascii="Wingdings" w:hAnsi="Wingdings" w:cs="Wingdings"/>
          <w:sz w:val="23"/>
          <w:szCs w:val="23"/>
        </w:rPr>
        <w:t></w:t>
      </w:r>
      <w:r>
        <w:rPr>
          <w:rFonts w:ascii="Wingdings" w:hAnsi="Wingdings" w:cs="Wingdings"/>
          <w:sz w:val="23"/>
          <w:szCs w:val="23"/>
        </w:rPr>
        <w:t></w:t>
      </w:r>
      <w:r>
        <w:rPr>
          <w:sz w:val="20"/>
          <w:szCs w:val="20"/>
        </w:rPr>
        <w:t>environmental conditi</w:t>
      </w:r>
      <w:r w:rsidR="002D55AD">
        <w:rPr>
          <w:sz w:val="20"/>
          <w:szCs w:val="20"/>
        </w:rPr>
        <w:t xml:space="preserve">ons such as </w:t>
      </w:r>
      <w:r>
        <w:rPr>
          <w:sz w:val="20"/>
          <w:szCs w:val="20"/>
        </w:rPr>
        <w:t xml:space="preserve">noise levels, lighting conditions and the presence of hazards </w:t>
      </w:r>
    </w:p>
    <w:p w:rsidR="009704D8" w:rsidRDefault="009704D8" w:rsidP="009704D8">
      <w:pPr>
        <w:pStyle w:val="Default"/>
        <w:spacing w:after="2"/>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the use of industrial equipment and procedures </w:t>
      </w:r>
    </w:p>
    <w:p w:rsidR="009704D8" w:rsidRDefault="009704D8" w:rsidP="009704D8">
      <w:pPr>
        <w:pStyle w:val="Default"/>
        <w:spacing w:after="2"/>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quality standards to be achieved </w:t>
      </w:r>
    </w:p>
    <w:p w:rsidR="009704D8" w:rsidRDefault="009704D8" w:rsidP="009704D8">
      <w:pPr>
        <w:pStyle w:val="Default"/>
        <w:spacing w:after="2"/>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pressure of work such as time constraints and repetitive activities </w:t>
      </w:r>
    </w:p>
    <w:p w:rsidR="009704D8" w:rsidRDefault="009704D8" w:rsidP="009704D8">
      <w:pPr>
        <w:pStyle w:val="Default"/>
        <w:spacing w:after="2"/>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carrying out work on actual work pieces and the consequences of making mistakes </w:t>
      </w:r>
    </w:p>
    <w:p w:rsidR="009704D8" w:rsidRDefault="009704D8" w:rsidP="009704D8">
      <w:pPr>
        <w:pStyle w:val="Default"/>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customer/supplier/departmental relationships </w:t>
      </w:r>
    </w:p>
    <w:p w:rsidR="009704D8" w:rsidRDefault="009704D8" w:rsidP="009704D8">
      <w:pPr>
        <w:pStyle w:val="Default"/>
        <w:rPr>
          <w:sz w:val="20"/>
          <w:szCs w:val="20"/>
        </w:rPr>
      </w:pPr>
    </w:p>
    <w:p w:rsidR="009704D8" w:rsidRDefault="008511B7" w:rsidP="009704D8">
      <w:pPr>
        <w:pStyle w:val="Default"/>
        <w:rPr>
          <w:sz w:val="23"/>
          <w:szCs w:val="23"/>
        </w:rPr>
      </w:pPr>
      <w:r>
        <w:rPr>
          <w:b/>
          <w:bCs/>
          <w:sz w:val="23"/>
          <w:szCs w:val="23"/>
        </w:rPr>
        <w:t xml:space="preserve">8. </w:t>
      </w:r>
      <w:r w:rsidR="009704D8">
        <w:rPr>
          <w:b/>
          <w:bCs/>
          <w:sz w:val="23"/>
          <w:szCs w:val="23"/>
        </w:rPr>
        <w:t xml:space="preserve">Access to Assessment </w:t>
      </w:r>
    </w:p>
    <w:p w:rsidR="008511B7" w:rsidRDefault="008511B7" w:rsidP="009704D8">
      <w:pPr>
        <w:pStyle w:val="Default"/>
        <w:rPr>
          <w:sz w:val="20"/>
          <w:szCs w:val="20"/>
        </w:rPr>
      </w:pPr>
    </w:p>
    <w:p w:rsidR="009704D8" w:rsidRDefault="009704D8" w:rsidP="009704D8">
      <w:pPr>
        <w:pStyle w:val="Default"/>
        <w:rPr>
          <w:sz w:val="20"/>
          <w:szCs w:val="20"/>
        </w:rPr>
      </w:pPr>
      <w:r>
        <w:rPr>
          <w:sz w:val="20"/>
          <w:szCs w:val="20"/>
        </w:rPr>
        <w:t xml:space="preserve">There are no entry qualifications or age limits required for these qualifications and /or units unless this is a legal requirement of the process or the environment. Assessment is open to any candidate who has the potential to reach the standards laid down for this qualification and/or units. </w:t>
      </w:r>
    </w:p>
    <w:p w:rsidR="009704D8" w:rsidRDefault="009704D8" w:rsidP="009704D8">
      <w:pPr>
        <w:pStyle w:val="Default"/>
        <w:rPr>
          <w:sz w:val="20"/>
          <w:szCs w:val="20"/>
        </w:rPr>
      </w:pPr>
      <w:r>
        <w:rPr>
          <w:sz w:val="20"/>
          <w:szCs w:val="20"/>
        </w:rPr>
        <w:t xml:space="preserve">Aids or appliances, which are designed to alleviate disability, may be used during assessment, providing they do not compromise the standard required. </w:t>
      </w:r>
    </w:p>
    <w:p w:rsidR="009704D8" w:rsidRDefault="009704D8" w:rsidP="009704D8">
      <w:pPr>
        <w:pStyle w:val="Default"/>
        <w:rPr>
          <w:b/>
          <w:bCs/>
          <w:sz w:val="23"/>
          <w:szCs w:val="23"/>
        </w:rPr>
      </w:pPr>
    </w:p>
    <w:p w:rsidR="009704D8" w:rsidRPr="008511B7" w:rsidRDefault="008511B7" w:rsidP="009704D8">
      <w:pPr>
        <w:pStyle w:val="Default"/>
        <w:rPr>
          <w:sz w:val="22"/>
          <w:szCs w:val="22"/>
        </w:rPr>
      </w:pPr>
      <w:r w:rsidRPr="008511B7">
        <w:rPr>
          <w:b/>
          <w:bCs/>
          <w:sz w:val="22"/>
          <w:szCs w:val="22"/>
        </w:rPr>
        <w:t xml:space="preserve">9. </w:t>
      </w:r>
      <w:r w:rsidR="009704D8" w:rsidRPr="008511B7">
        <w:rPr>
          <w:b/>
          <w:bCs/>
          <w:sz w:val="22"/>
          <w:szCs w:val="22"/>
        </w:rPr>
        <w:t xml:space="preserve">Carrying Out Assessments </w:t>
      </w:r>
    </w:p>
    <w:p w:rsidR="008511B7" w:rsidRDefault="008511B7" w:rsidP="009704D8">
      <w:pPr>
        <w:pStyle w:val="Default"/>
        <w:rPr>
          <w:sz w:val="20"/>
          <w:szCs w:val="20"/>
        </w:rPr>
      </w:pPr>
    </w:p>
    <w:p w:rsidR="009704D8" w:rsidRDefault="0099064E" w:rsidP="009704D8">
      <w:pPr>
        <w:pStyle w:val="Default"/>
        <w:rPr>
          <w:sz w:val="20"/>
          <w:szCs w:val="20"/>
        </w:rPr>
      </w:pPr>
      <w:proofErr w:type="spellStart"/>
      <w:r>
        <w:rPr>
          <w:sz w:val="20"/>
          <w:szCs w:val="20"/>
        </w:rPr>
        <w:t>Semta</w:t>
      </w:r>
      <w:proofErr w:type="spellEnd"/>
      <w:r w:rsidR="009704D8">
        <w:rPr>
          <w:sz w:val="20"/>
          <w:szCs w:val="20"/>
        </w:rPr>
        <w:t xml:space="preserve"> strongly recommends that the majority of assessment evidence for the mandatory units is gathered during the performance of the optional units. Evidence should be obtained as a whole, where practically possible, since competent performance in the optional units is often dependent on competence in the mandatory units. Although it is possible to achieve this qualification with the minimum number of optional units, organisations may wish their candidates to be assessed for more than this. </w:t>
      </w:r>
    </w:p>
    <w:p w:rsidR="0029112C" w:rsidRDefault="0029112C" w:rsidP="009704D8">
      <w:pPr>
        <w:pStyle w:val="Default"/>
        <w:rPr>
          <w:sz w:val="20"/>
          <w:szCs w:val="20"/>
        </w:rPr>
      </w:pPr>
    </w:p>
    <w:p w:rsidR="00332667" w:rsidRDefault="009704D8" w:rsidP="00332667">
      <w:pPr>
        <w:pStyle w:val="Default"/>
        <w:rPr>
          <w:sz w:val="20"/>
          <w:szCs w:val="20"/>
        </w:rPr>
      </w:pPr>
      <w:r>
        <w:rPr>
          <w:sz w:val="20"/>
          <w:szCs w:val="20"/>
        </w:rPr>
        <w:t xml:space="preserve">The National Occupational Standards were developed to cover a range of activities. The evidence produced for this qualification and/or units will, therefore, depend on the candidate’s choice of ‘scope/range’ items in the standard, which are intended to help the candidate to seek the appropriate information and to acquire the necessary skills, techniques and knowledge before being able to demonstrate competent performance. Where the scope/range section gives a choice (for example ‘any three from five’), assessors should note that candidates do not need to cover the other (in this example, two) items, particularly where these additional items may relate to other activities or methods that are not part of the candidate’s normal workplace activity or area of expertise. </w:t>
      </w:r>
    </w:p>
    <w:p w:rsidR="009704D8" w:rsidRDefault="009704D8" w:rsidP="009704D8">
      <w:pPr>
        <w:pStyle w:val="Default"/>
        <w:rPr>
          <w:sz w:val="20"/>
          <w:szCs w:val="20"/>
        </w:rPr>
      </w:pPr>
    </w:p>
    <w:p w:rsidR="009704D8" w:rsidRPr="008511B7" w:rsidRDefault="008511B7" w:rsidP="009704D8">
      <w:pPr>
        <w:pStyle w:val="Default"/>
        <w:rPr>
          <w:color w:val="auto"/>
          <w:sz w:val="22"/>
          <w:szCs w:val="22"/>
        </w:rPr>
      </w:pPr>
      <w:r w:rsidRPr="008511B7">
        <w:rPr>
          <w:b/>
          <w:bCs/>
          <w:color w:val="auto"/>
          <w:sz w:val="22"/>
          <w:szCs w:val="22"/>
        </w:rPr>
        <w:t xml:space="preserve">10. </w:t>
      </w:r>
      <w:r w:rsidR="009704D8" w:rsidRPr="008511B7">
        <w:rPr>
          <w:b/>
          <w:bCs/>
          <w:color w:val="auto"/>
          <w:sz w:val="22"/>
          <w:szCs w:val="22"/>
        </w:rPr>
        <w:t xml:space="preserve">Assessing Knowledge and Understanding </w:t>
      </w:r>
    </w:p>
    <w:p w:rsidR="009704D8" w:rsidRDefault="009704D8" w:rsidP="009704D8">
      <w:pPr>
        <w:pStyle w:val="Default"/>
        <w:rPr>
          <w:color w:val="auto"/>
          <w:sz w:val="20"/>
          <w:szCs w:val="20"/>
        </w:rPr>
      </w:pPr>
    </w:p>
    <w:p w:rsidR="009704D8" w:rsidRDefault="009704D8" w:rsidP="009704D8">
      <w:pPr>
        <w:pStyle w:val="Default"/>
        <w:rPr>
          <w:color w:val="auto"/>
          <w:sz w:val="20"/>
          <w:szCs w:val="20"/>
        </w:rPr>
      </w:pPr>
      <w:r>
        <w:rPr>
          <w:color w:val="auto"/>
          <w:sz w:val="20"/>
          <w:szCs w:val="20"/>
        </w:rPr>
        <w:t xml:space="preserve">Knowledge and understanding are key components of competent performance, but it is unlikely that performance evidence alone will provide enough evidence in this area. Where the candidate’s knowledge and understanding (and the handling of contingency situations) is not apparent from performance evidence, it must be assessed by other means and be supported by suitable evidence. </w:t>
      </w:r>
    </w:p>
    <w:p w:rsidR="0099064E" w:rsidRDefault="009704D8" w:rsidP="009704D8">
      <w:pPr>
        <w:pStyle w:val="Default"/>
        <w:rPr>
          <w:color w:val="auto"/>
          <w:sz w:val="20"/>
          <w:szCs w:val="20"/>
        </w:rPr>
      </w:pPr>
      <w:r>
        <w:rPr>
          <w:color w:val="auto"/>
          <w:sz w:val="20"/>
          <w:szCs w:val="20"/>
        </w:rPr>
        <w:t xml:space="preserve">Knowledge and understanding can be demonstrated in a number of different ways, but it is suggested that the most appropriate methods for this qualification are oral questioning and practical demonstrations. Assessors should ask enough questions to be able to determine that the candidate has an appropriate level of knowledge and understanding as required by the unit. </w:t>
      </w:r>
    </w:p>
    <w:p w:rsidR="009704D8" w:rsidRDefault="009704D8" w:rsidP="009704D8">
      <w:pPr>
        <w:pStyle w:val="Default"/>
        <w:rPr>
          <w:color w:val="auto"/>
          <w:sz w:val="20"/>
          <w:szCs w:val="20"/>
        </w:rPr>
      </w:pPr>
      <w:r>
        <w:rPr>
          <w:color w:val="auto"/>
          <w:sz w:val="20"/>
          <w:szCs w:val="20"/>
        </w:rPr>
        <w:t xml:space="preserve">Evidence of knowledge and understanding will </w:t>
      </w:r>
      <w:r>
        <w:rPr>
          <w:b/>
          <w:bCs/>
          <w:color w:val="auto"/>
          <w:sz w:val="20"/>
          <w:szCs w:val="20"/>
        </w:rPr>
        <w:t xml:space="preserve">not </w:t>
      </w:r>
      <w:r>
        <w:rPr>
          <w:color w:val="auto"/>
          <w:sz w:val="20"/>
          <w:szCs w:val="20"/>
        </w:rPr>
        <w:t xml:space="preserve">be required for those scope items that have not been selected by the candidate. </w:t>
      </w:r>
    </w:p>
    <w:p w:rsidR="00ED618C" w:rsidRDefault="00ED618C" w:rsidP="009704D8">
      <w:pPr>
        <w:pStyle w:val="Default"/>
        <w:rPr>
          <w:color w:val="auto"/>
          <w:sz w:val="20"/>
          <w:szCs w:val="20"/>
        </w:rPr>
      </w:pPr>
    </w:p>
    <w:p w:rsidR="009704D8" w:rsidRDefault="009704D8" w:rsidP="009704D8">
      <w:pPr>
        <w:pStyle w:val="Default"/>
        <w:rPr>
          <w:color w:val="auto"/>
          <w:sz w:val="20"/>
          <w:szCs w:val="20"/>
        </w:rPr>
      </w:pPr>
      <w:r>
        <w:rPr>
          <w:color w:val="auto"/>
          <w:sz w:val="20"/>
          <w:szCs w:val="20"/>
        </w:rPr>
        <w:t xml:space="preserve">The achievement of the specific knowledge and understanding requirements of the standards cannot simply be inferred by the results of tests or assignments from other qualifications or training programmes. Where evidence is submitted from these sources, the assessor must, as with any assessment, make sure the evidence is valid, reliable, authentic, directly attributable to the candidate, and meets the full knowledge and understanding requirements of the standard. </w:t>
      </w:r>
    </w:p>
    <w:p w:rsidR="009704D8" w:rsidRDefault="009704D8" w:rsidP="009704D8">
      <w:pPr>
        <w:pStyle w:val="Default"/>
        <w:rPr>
          <w:color w:val="auto"/>
          <w:sz w:val="20"/>
          <w:szCs w:val="20"/>
        </w:rPr>
      </w:pPr>
      <w:r>
        <w:rPr>
          <w:color w:val="auto"/>
          <w:sz w:val="20"/>
          <w:szCs w:val="20"/>
        </w:rPr>
        <w:t xml:space="preserve">Where oral questioning is used the assessor must retain a record of the questions asked, together with the candidate’s answers. </w:t>
      </w:r>
    </w:p>
    <w:p w:rsidR="00ED618C" w:rsidRDefault="00ED618C" w:rsidP="009704D8">
      <w:pPr>
        <w:pStyle w:val="Default"/>
        <w:rPr>
          <w:color w:val="auto"/>
          <w:sz w:val="20"/>
          <w:szCs w:val="20"/>
        </w:rPr>
      </w:pPr>
    </w:p>
    <w:p w:rsidR="009704D8" w:rsidRDefault="009704D8" w:rsidP="009704D8">
      <w:pPr>
        <w:pStyle w:val="Default"/>
        <w:rPr>
          <w:color w:val="auto"/>
          <w:sz w:val="20"/>
          <w:szCs w:val="20"/>
        </w:rPr>
      </w:pPr>
      <w:r>
        <w:rPr>
          <w:color w:val="auto"/>
          <w:sz w:val="20"/>
          <w:szCs w:val="20"/>
        </w:rPr>
        <w:t xml:space="preserve">Awarding Bodies may choose other methods, which must be supported by a suitable rationale. </w:t>
      </w:r>
    </w:p>
    <w:p w:rsidR="009704D8" w:rsidRPr="008511B7" w:rsidRDefault="009704D8" w:rsidP="009704D8">
      <w:pPr>
        <w:pStyle w:val="Default"/>
        <w:rPr>
          <w:b/>
          <w:bCs/>
          <w:color w:val="auto"/>
          <w:sz w:val="22"/>
          <w:szCs w:val="22"/>
        </w:rPr>
      </w:pPr>
    </w:p>
    <w:p w:rsidR="009704D8" w:rsidRPr="008511B7" w:rsidRDefault="008511B7" w:rsidP="009704D8">
      <w:pPr>
        <w:pStyle w:val="Default"/>
        <w:rPr>
          <w:color w:val="auto"/>
          <w:sz w:val="22"/>
          <w:szCs w:val="22"/>
        </w:rPr>
      </w:pPr>
      <w:r w:rsidRPr="008511B7">
        <w:rPr>
          <w:b/>
          <w:bCs/>
          <w:color w:val="auto"/>
          <w:sz w:val="22"/>
          <w:szCs w:val="22"/>
        </w:rPr>
        <w:t xml:space="preserve">11. </w:t>
      </w:r>
      <w:r w:rsidR="009704D8" w:rsidRPr="008511B7">
        <w:rPr>
          <w:b/>
          <w:bCs/>
          <w:color w:val="auto"/>
          <w:sz w:val="22"/>
          <w:szCs w:val="22"/>
        </w:rPr>
        <w:t xml:space="preserve">Expert Witness Testimony </w:t>
      </w:r>
    </w:p>
    <w:p w:rsidR="009704D8" w:rsidRDefault="009704D8" w:rsidP="009704D8">
      <w:pPr>
        <w:pStyle w:val="Default"/>
        <w:rPr>
          <w:color w:val="auto"/>
          <w:sz w:val="20"/>
          <w:szCs w:val="20"/>
        </w:rPr>
      </w:pPr>
    </w:p>
    <w:p w:rsidR="009704D8" w:rsidRDefault="009704D8" w:rsidP="009704D8">
      <w:pPr>
        <w:pStyle w:val="Default"/>
        <w:rPr>
          <w:color w:val="auto"/>
          <w:sz w:val="20"/>
          <w:szCs w:val="20"/>
        </w:rPr>
      </w:pPr>
      <w:r>
        <w:rPr>
          <w:color w:val="auto"/>
          <w:sz w:val="20"/>
          <w:szCs w:val="20"/>
        </w:rPr>
        <w:t xml:space="preserve">Where ‘observation of process’ is used to obtain the performance evidence, this must be carried out against the National Occupational Standards. Best practice would require that such observation is carried out by a qualified Assessor. If this is not practicable, then alternative sources of evidence may be used. </w:t>
      </w:r>
    </w:p>
    <w:p w:rsidR="009704D8" w:rsidRDefault="009704D8" w:rsidP="009704D8">
      <w:pPr>
        <w:pStyle w:val="Default"/>
        <w:rPr>
          <w:color w:val="auto"/>
          <w:sz w:val="20"/>
          <w:szCs w:val="20"/>
        </w:rPr>
      </w:pPr>
      <w:r>
        <w:rPr>
          <w:color w:val="auto"/>
          <w:sz w:val="20"/>
          <w:szCs w:val="20"/>
        </w:rPr>
        <w:t>For example, the observation may be carried out against the standards by someone else in close contact with the candidate. This could be a team leader, supervisor, mentor or line manager who may be regarded as a suitable expert witness to the candidate’s competency. However, the witness must be technically competent in the process or skills that they are providing testimony for, to at least the same level of expertise as that required of the candidate. It will be the responsibility of the assessor to make sure that any witness testimonies accepted as evidence of a candidate’s competency are reliable and technically valid.</w:t>
      </w:r>
    </w:p>
    <w:p w:rsidR="009704D8" w:rsidRPr="008511B7" w:rsidRDefault="009704D8" w:rsidP="009704D8">
      <w:pPr>
        <w:pStyle w:val="Default"/>
        <w:rPr>
          <w:color w:val="auto"/>
          <w:sz w:val="22"/>
          <w:szCs w:val="22"/>
        </w:rPr>
      </w:pPr>
    </w:p>
    <w:p w:rsidR="009704D8" w:rsidRPr="008511B7" w:rsidRDefault="008511B7" w:rsidP="009704D8">
      <w:pPr>
        <w:pStyle w:val="Default"/>
        <w:rPr>
          <w:sz w:val="22"/>
          <w:szCs w:val="22"/>
        </w:rPr>
      </w:pPr>
      <w:r w:rsidRPr="008511B7">
        <w:rPr>
          <w:b/>
          <w:bCs/>
          <w:sz w:val="22"/>
          <w:szCs w:val="22"/>
        </w:rPr>
        <w:t xml:space="preserve">12. </w:t>
      </w:r>
      <w:r w:rsidR="009704D8" w:rsidRPr="008511B7">
        <w:rPr>
          <w:b/>
          <w:bCs/>
          <w:sz w:val="22"/>
          <w:szCs w:val="22"/>
        </w:rPr>
        <w:t xml:space="preserve">External Quality Control of Assessment </w:t>
      </w:r>
    </w:p>
    <w:p w:rsidR="008511B7" w:rsidRDefault="008511B7" w:rsidP="009704D8">
      <w:pPr>
        <w:pStyle w:val="Default"/>
        <w:rPr>
          <w:b/>
          <w:bCs/>
          <w:sz w:val="20"/>
          <w:szCs w:val="20"/>
        </w:rPr>
      </w:pPr>
    </w:p>
    <w:p w:rsidR="009704D8" w:rsidRDefault="009704D8" w:rsidP="009704D8">
      <w:pPr>
        <w:pStyle w:val="Default"/>
        <w:rPr>
          <w:sz w:val="20"/>
          <w:szCs w:val="20"/>
        </w:rPr>
      </w:pPr>
      <w:r>
        <w:rPr>
          <w:b/>
          <w:bCs/>
          <w:sz w:val="20"/>
          <w:szCs w:val="20"/>
        </w:rPr>
        <w:t xml:space="preserve">General </w:t>
      </w:r>
    </w:p>
    <w:p w:rsidR="008511B7" w:rsidRDefault="008511B7" w:rsidP="009704D8">
      <w:pPr>
        <w:pStyle w:val="Default"/>
        <w:rPr>
          <w:sz w:val="20"/>
          <w:szCs w:val="20"/>
        </w:rPr>
      </w:pPr>
    </w:p>
    <w:p w:rsidR="009704D8" w:rsidRDefault="009704D8" w:rsidP="009704D8">
      <w:pPr>
        <w:pStyle w:val="Default"/>
        <w:rPr>
          <w:sz w:val="20"/>
          <w:szCs w:val="20"/>
        </w:rPr>
      </w:pPr>
      <w:r>
        <w:rPr>
          <w:sz w:val="20"/>
          <w:szCs w:val="20"/>
        </w:rPr>
        <w:t xml:space="preserve">There are two major points where an Awarding Body interacts with the Centre in relation to the External Quality Control of Assessment for a qualification and these are: </w:t>
      </w:r>
    </w:p>
    <w:p w:rsidR="008511B7" w:rsidRDefault="008511B7" w:rsidP="009704D8">
      <w:pPr>
        <w:pStyle w:val="Default"/>
        <w:rPr>
          <w:sz w:val="20"/>
          <w:szCs w:val="20"/>
        </w:rPr>
      </w:pPr>
    </w:p>
    <w:p w:rsidR="009704D8" w:rsidRDefault="009704D8" w:rsidP="008511B7">
      <w:pPr>
        <w:pStyle w:val="Default"/>
        <w:numPr>
          <w:ilvl w:val="0"/>
          <w:numId w:val="7"/>
        </w:numPr>
        <w:spacing w:after="2"/>
        <w:rPr>
          <w:sz w:val="20"/>
          <w:szCs w:val="20"/>
        </w:rPr>
      </w:pPr>
      <w:r>
        <w:rPr>
          <w:sz w:val="20"/>
          <w:szCs w:val="20"/>
        </w:rPr>
        <w:t xml:space="preserve">Approval - when a Centre take on new qualifications, the Awarding Body, normally through an External Verifier (EV) ensures that the Centre is suitably equipped and prepared to deliver the new qualification </w:t>
      </w:r>
    </w:p>
    <w:p w:rsidR="009704D8" w:rsidRDefault="009704D8" w:rsidP="008511B7">
      <w:pPr>
        <w:pStyle w:val="Default"/>
        <w:numPr>
          <w:ilvl w:val="0"/>
          <w:numId w:val="7"/>
        </w:numPr>
        <w:rPr>
          <w:sz w:val="20"/>
          <w:szCs w:val="20"/>
        </w:rPr>
      </w:pPr>
      <w:r>
        <w:rPr>
          <w:sz w:val="20"/>
          <w:szCs w:val="20"/>
        </w:rPr>
        <w:t xml:space="preserve">Monitoring - throughout the ongoing delivery of the qualification the Awarding Body, through EV monitoring and other mechanisms must maintain the quality and consistency of assessment of the qualification </w:t>
      </w:r>
    </w:p>
    <w:p w:rsidR="009704D8" w:rsidRDefault="009704D8" w:rsidP="009704D8">
      <w:pPr>
        <w:pStyle w:val="Default"/>
        <w:rPr>
          <w:sz w:val="20"/>
          <w:szCs w:val="20"/>
        </w:rPr>
      </w:pPr>
    </w:p>
    <w:p w:rsidR="009704D8" w:rsidRDefault="009704D8" w:rsidP="009704D8">
      <w:pPr>
        <w:pStyle w:val="Default"/>
        <w:rPr>
          <w:sz w:val="20"/>
          <w:szCs w:val="20"/>
        </w:rPr>
      </w:pPr>
      <w:r>
        <w:rPr>
          <w:b/>
          <w:bCs/>
          <w:sz w:val="20"/>
          <w:szCs w:val="20"/>
        </w:rPr>
        <w:t xml:space="preserve">Approval </w:t>
      </w:r>
    </w:p>
    <w:p w:rsidR="009704D8" w:rsidRDefault="009704D8" w:rsidP="009704D8">
      <w:pPr>
        <w:pStyle w:val="Default"/>
        <w:rPr>
          <w:sz w:val="20"/>
          <w:szCs w:val="20"/>
        </w:rPr>
      </w:pPr>
      <w:r>
        <w:rPr>
          <w:sz w:val="20"/>
          <w:szCs w:val="20"/>
        </w:rPr>
        <w:t xml:space="preserve">In granting Approval, the Awarding Body, normally through its External Verifiers (EV) must ensure that the prospective Centre: </w:t>
      </w:r>
    </w:p>
    <w:p w:rsidR="008511B7" w:rsidRDefault="008511B7" w:rsidP="009704D8">
      <w:pPr>
        <w:pStyle w:val="Default"/>
        <w:rPr>
          <w:sz w:val="20"/>
          <w:szCs w:val="20"/>
        </w:rPr>
      </w:pPr>
    </w:p>
    <w:p w:rsidR="009704D8" w:rsidRDefault="009704D8" w:rsidP="008511B7">
      <w:pPr>
        <w:pStyle w:val="Default"/>
        <w:numPr>
          <w:ilvl w:val="0"/>
          <w:numId w:val="8"/>
        </w:numPr>
        <w:spacing w:after="24"/>
        <w:rPr>
          <w:sz w:val="20"/>
          <w:szCs w:val="20"/>
        </w:rPr>
      </w:pPr>
      <w:r>
        <w:rPr>
          <w:sz w:val="20"/>
          <w:szCs w:val="20"/>
        </w:rPr>
        <w:t xml:space="preserve">Meets the requirements of SQA Accreditation’s regulatory requirements </w:t>
      </w:r>
    </w:p>
    <w:p w:rsidR="009704D8" w:rsidRDefault="009704D8" w:rsidP="008511B7">
      <w:pPr>
        <w:pStyle w:val="Default"/>
        <w:numPr>
          <w:ilvl w:val="0"/>
          <w:numId w:val="8"/>
        </w:numPr>
        <w:spacing w:after="24"/>
        <w:rPr>
          <w:sz w:val="20"/>
          <w:szCs w:val="20"/>
        </w:rPr>
      </w:pPr>
      <w:r>
        <w:rPr>
          <w:sz w:val="20"/>
          <w:szCs w:val="20"/>
        </w:rPr>
        <w:t xml:space="preserve">Has sufficient and appropriate physical and staff resources </w:t>
      </w:r>
    </w:p>
    <w:p w:rsidR="009704D8" w:rsidRDefault="009704D8" w:rsidP="008511B7">
      <w:pPr>
        <w:pStyle w:val="Default"/>
        <w:numPr>
          <w:ilvl w:val="0"/>
          <w:numId w:val="8"/>
        </w:numPr>
        <w:spacing w:after="24"/>
        <w:rPr>
          <w:sz w:val="20"/>
          <w:szCs w:val="20"/>
        </w:rPr>
      </w:pPr>
      <w:r>
        <w:rPr>
          <w:sz w:val="20"/>
          <w:szCs w:val="20"/>
        </w:rPr>
        <w:t xml:space="preserve">Meets relevant health and safety and/or equality and access requirements </w:t>
      </w:r>
    </w:p>
    <w:p w:rsidR="009704D8" w:rsidRDefault="009704D8" w:rsidP="008511B7">
      <w:pPr>
        <w:pStyle w:val="Default"/>
        <w:numPr>
          <w:ilvl w:val="0"/>
          <w:numId w:val="8"/>
        </w:numPr>
        <w:rPr>
          <w:sz w:val="20"/>
          <w:szCs w:val="20"/>
        </w:rPr>
      </w:pPr>
      <w:r>
        <w:rPr>
          <w:sz w:val="20"/>
          <w:szCs w:val="20"/>
        </w:rPr>
        <w:t xml:space="preserve">Has a robust plan for the delivery of the qualification </w:t>
      </w:r>
    </w:p>
    <w:p w:rsidR="009704D8" w:rsidRDefault="009704D8" w:rsidP="009704D8">
      <w:pPr>
        <w:pStyle w:val="Default"/>
        <w:rPr>
          <w:sz w:val="20"/>
          <w:szCs w:val="20"/>
        </w:rPr>
      </w:pPr>
    </w:p>
    <w:p w:rsidR="009704D8" w:rsidRDefault="009704D8" w:rsidP="009704D8">
      <w:pPr>
        <w:pStyle w:val="Default"/>
        <w:rPr>
          <w:sz w:val="20"/>
          <w:szCs w:val="20"/>
        </w:rPr>
      </w:pPr>
      <w:r>
        <w:rPr>
          <w:sz w:val="20"/>
          <w:szCs w:val="20"/>
        </w:rPr>
        <w:t xml:space="preserve">Depending on an assessment of the condition of the Centre by the Awarding Body this may require a visit to the Centre to view evidence or may be undertaken through other means. </w:t>
      </w:r>
    </w:p>
    <w:p w:rsidR="009704D8" w:rsidRDefault="009704D8" w:rsidP="009704D8">
      <w:pPr>
        <w:pStyle w:val="Default"/>
        <w:rPr>
          <w:sz w:val="20"/>
          <w:szCs w:val="20"/>
        </w:rPr>
      </w:pPr>
      <w:r>
        <w:rPr>
          <w:sz w:val="20"/>
          <w:szCs w:val="20"/>
        </w:rPr>
        <w:t>The Awarding Body must have a clear rationale for the method(s) deployed</w:t>
      </w:r>
      <w:r w:rsidR="008037D4">
        <w:rPr>
          <w:sz w:val="20"/>
          <w:szCs w:val="20"/>
        </w:rPr>
        <w:t>.</w:t>
      </w:r>
      <w:r>
        <w:rPr>
          <w:sz w:val="20"/>
          <w:szCs w:val="20"/>
        </w:rPr>
        <w:t xml:space="preserve"> </w:t>
      </w:r>
    </w:p>
    <w:p w:rsidR="00553022" w:rsidRDefault="00553022" w:rsidP="009704D8">
      <w:pPr>
        <w:pStyle w:val="Default"/>
        <w:rPr>
          <w:b/>
          <w:bCs/>
          <w:sz w:val="20"/>
          <w:szCs w:val="20"/>
        </w:rPr>
      </w:pPr>
    </w:p>
    <w:p w:rsidR="009704D8" w:rsidRDefault="009704D8" w:rsidP="009704D8">
      <w:pPr>
        <w:pStyle w:val="Default"/>
        <w:rPr>
          <w:sz w:val="20"/>
          <w:szCs w:val="20"/>
        </w:rPr>
      </w:pPr>
      <w:r>
        <w:rPr>
          <w:b/>
          <w:bCs/>
          <w:sz w:val="20"/>
          <w:szCs w:val="20"/>
        </w:rPr>
        <w:t xml:space="preserve">Monitoring </w:t>
      </w:r>
    </w:p>
    <w:p w:rsidR="00553022" w:rsidRDefault="00553022" w:rsidP="009704D8">
      <w:pPr>
        <w:pStyle w:val="Default"/>
        <w:rPr>
          <w:sz w:val="20"/>
          <w:szCs w:val="20"/>
        </w:rPr>
      </w:pPr>
    </w:p>
    <w:p w:rsidR="009704D8" w:rsidRDefault="009704D8" w:rsidP="009704D8">
      <w:pPr>
        <w:pStyle w:val="Default"/>
        <w:rPr>
          <w:sz w:val="20"/>
          <w:szCs w:val="20"/>
        </w:rPr>
      </w:pPr>
      <w:r>
        <w:rPr>
          <w:sz w:val="20"/>
          <w:szCs w:val="20"/>
        </w:rPr>
        <w:t xml:space="preserve">The Awarding Body, through EV monitoring and other mechanisms must ensure: </w:t>
      </w:r>
    </w:p>
    <w:p w:rsidR="00553022" w:rsidRDefault="00553022" w:rsidP="009704D8">
      <w:pPr>
        <w:pStyle w:val="Default"/>
        <w:spacing w:after="27"/>
        <w:rPr>
          <w:sz w:val="20"/>
          <w:szCs w:val="20"/>
        </w:rPr>
      </w:pPr>
    </w:p>
    <w:p w:rsidR="009704D8" w:rsidRDefault="00553022" w:rsidP="00553022">
      <w:pPr>
        <w:pStyle w:val="Default"/>
        <w:numPr>
          <w:ilvl w:val="0"/>
          <w:numId w:val="9"/>
        </w:numPr>
        <w:spacing w:after="27"/>
        <w:rPr>
          <w:sz w:val="20"/>
          <w:szCs w:val="20"/>
        </w:rPr>
      </w:pPr>
      <w:r>
        <w:rPr>
          <w:sz w:val="20"/>
          <w:szCs w:val="20"/>
        </w:rPr>
        <w:t>T</w:t>
      </w:r>
      <w:r w:rsidR="009704D8">
        <w:rPr>
          <w:sz w:val="20"/>
          <w:szCs w:val="20"/>
        </w:rPr>
        <w:t>hat</w:t>
      </w:r>
      <w:r>
        <w:rPr>
          <w:sz w:val="20"/>
          <w:szCs w:val="20"/>
        </w:rPr>
        <w:t xml:space="preserve"> </w:t>
      </w:r>
      <w:r w:rsidR="009704D8">
        <w:rPr>
          <w:sz w:val="20"/>
          <w:szCs w:val="20"/>
        </w:rPr>
        <w:t xml:space="preserve">a strategy is developed and deployed for the ongoing Awarding Body monitoring of the Centre. This strategy must be based on an active risk assessment of the Centre. In particular the strategy must identify the candidate, assessor and IV sampling strategy to be deployed and the rationale behind this </w:t>
      </w:r>
    </w:p>
    <w:p w:rsidR="009704D8" w:rsidRDefault="009704D8" w:rsidP="00553022">
      <w:pPr>
        <w:pStyle w:val="Default"/>
        <w:numPr>
          <w:ilvl w:val="0"/>
          <w:numId w:val="9"/>
        </w:numPr>
        <w:spacing w:after="27"/>
        <w:rPr>
          <w:sz w:val="20"/>
          <w:szCs w:val="20"/>
        </w:rPr>
      </w:pPr>
      <w:r>
        <w:rPr>
          <w:sz w:val="20"/>
          <w:szCs w:val="20"/>
        </w:rPr>
        <w:t xml:space="preserve">that the Centre’s internal quality assurance processes are effective in candidate assessment </w:t>
      </w:r>
    </w:p>
    <w:p w:rsidR="009704D8" w:rsidRDefault="00553022" w:rsidP="00553022">
      <w:pPr>
        <w:pStyle w:val="Default"/>
        <w:numPr>
          <w:ilvl w:val="0"/>
          <w:numId w:val="9"/>
        </w:numPr>
        <w:spacing w:after="27"/>
        <w:rPr>
          <w:sz w:val="20"/>
          <w:szCs w:val="20"/>
        </w:rPr>
      </w:pPr>
      <w:r>
        <w:rPr>
          <w:sz w:val="20"/>
          <w:szCs w:val="20"/>
        </w:rPr>
        <w:t>t</w:t>
      </w:r>
      <w:r w:rsidR="009704D8">
        <w:rPr>
          <w:sz w:val="20"/>
          <w:szCs w:val="20"/>
        </w:rPr>
        <w:t xml:space="preserve">hat sanctions are applied to a Centre where necessary and that corrective actions are taken by the Centre and monitored by the Awarding Body/EV </w:t>
      </w:r>
    </w:p>
    <w:p w:rsidR="009704D8" w:rsidRDefault="009704D8" w:rsidP="00553022">
      <w:pPr>
        <w:pStyle w:val="Default"/>
        <w:numPr>
          <w:ilvl w:val="0"/>
          <w:numId w:val="9"/>
        </w:numPr>
        <w:rPr>
          <w:sz w:val="20"/>
          <w:szCs w:val="20"/>
        </w:rPr>
      </w:pPr>
      <w:r>
        <w:rPr>
          <w:sz w:val="20"/>
          <w:szCs w:val="20"/>
        </w:rPr>
        <w:t xml:space="preserve">that reviews of Awarding Body external auditing arrangements are undertaken </w:t>
      </w:r>
    </w:p>
    <w:p w:rsidR="009704D8" w:rsidRDefault="009704D8" w:rsidP="009704D8">
      <w:pPr>
        <w:pStyle w:val="Default"/>
        <w:rPr>
          <w:sz w:val="20"/>
          <w:szCs w:val="20"/>
        </w:rPr>
      </w:pPr>
    </w:p>
    <w:p w:rsidR="009704D8" w:rsidRDefault="009704D8" w:rsidP="009704D8">
      <w:pPr>
        <w:pStyle w:val="Default"/>
        <w:rPr>
          <w:color w:val="auto"/>
          <w:sz w:val="20"/>
          <w:szCs w:val="20"/>
        </w:rPr>
      </w:pPr>
      <w:r>
        <w:rPr>
          <w:sz w:val="20"/>
          <w:szCs w:val="20"/>
        </w:rPr>
        <w:t xml:space="preserve">Awarding Bodies are required to provide to </w:t>
      </w:r>
      <w:proofErr w:type="spellStart"/>
      <w:r>
        <w:rPr>
          <w:sz w:val="20"/>
          <w:szCs w:val="20"/>
        </w:rPr>
        <w:t>Semta</w:t>
      </w:r>
      <w:proofErr w:type="spellEnd"/>
      <w:r>
        <w:rPr>
          <w:sz w:val="20"/>
          <w:szCs w:val="20"/>
        </w:rPr>
        <w:t>, on request, details of the strategies, rationales and reviews detailed above.</w:t>
      </w:r>
    </w:p>
    <w:p w:rsidR="009704D8" w:rsidRDefault="009704D8" w:rsidP="009704D8">
      <w:pPr>
        <w:pStyle w:val="Default"/>
        <w:rPr>
          <w:color w:val="auto"/>
          <w:sz w:val="20"/>
          <w:szCs w:val="20"/>
        </w:rPr>
      </w:pPr>
    </w:p>
    <w:p w:rsidR="009704D8" w:rsidRDefault="009704D8" w:rsidP="009704D8">
      <w:pPr>
        <w:pStyle w:val="Default"/>
        <w:rPr>
          <w:sz w:val="20"/>
          <w:szCs w:val="20"/>
        </w:rPr>
      </w:pPr>
      <w:r>
        <w:rPr>
          <w:b/>
          <w:bCs/>
          <w:sz w:val="20"/>
          <w:szCs w:val="20"/>
        </w:rPr>
        <w:t xml:space="preserve"> </w:t>
      </w:r>
    </w:p>
    <w:p w:rsidR="009704D8" w:rsidRPr="00940875" w:rsidRDefault="00940875" w:rsidP="009704D8">
      <w:pPr>
        <w:pStyle w:val="Default"/>
        <w:rPr>
          <w:sz w:val="22"/>
          <w:szCs w:val="22"/>
        </w:rPr>
      </w:pPr>
      <w:r>
        <w:rPr>
          <w:b/>
          <w:bCs/>
          <w:sz w:val="22"/>
          <w:szCs w:val="22"/>
        </w:rPr>
        <w:t>13</w:t>
      </w:r>
      <w:r w:rsidRPr="00940875">
        <w:rPr>
          <w:b/>
          <w:bCs/>
          <w:sz w:val="22"/>
          <w:szCs w:val="22"/>
        </w:rPr>
        <w:t xml:space="preserve">. </w:t>
      </w:r>
      <w:r w:rsidR="009704D8" w:rsidRPr="00940875">
        <w:rPr>
          <w:b/>
          <w:bCs/>
          <w:sz w:val="22"/>
          <w:szCs w:val="22"/>
        </w:rPr>
        <w:t xml:space="preserve">Assessment Guidance </w:t>
      </w:r>
    </w:p>
    <w:p w:rsidR="00940875" w:rsidRDefault="00940875" w:rsidP="009704D8">
      <w:pPr>
        <w:pStyle w:val="Default"/>
        <w:rPr>
          <w:b/>
          <w:bCs/>
          <w:sz w:val="23"/>
          <w:szCs w:val="23"/>
        </w:rPr>
      </w:pPr>
    </w:p>
    <w:p w:rsidR="009704D8" w:rsidRPr="00940875" w:rsidRDefault="009704D8" w:rsidP="009704D8">
      <w:pPr>
        <w:pStyle w:val="Default"/>
        <w:rPr>
          <w:sz w:val="20"/>
          <w:szCs w:val="20"/>
        </w:rPr>
      </w:pPr>
      <w:r w:rsidRPr="00940875">
        <w:rPr>
          <w:b/>
          <w:bCs/>
          <w:sz w:val="20"/>
          <w:szCs w:val="20"/>
        </w:rPr>
        <w:t xml:space="preserve">Performance Evidence Requirements </w:t>
      </w:r>
    </w:p>
    <w:p w:rsidR="00940875" w:rsidRDefault="00940875" w:rsidP="009704D8">
      <w:pPr>
        <w:pStyle w:val="Default"/>
        <w:rPr>
          <w:sz w:val="20"/>
          <w:szCs w:val="20"/>
        </w:rPr>
      </w:pPr>
    </w:p>
    <w:p w:rsidR="0099064E" w:rsidRDefault="009704D8" w:rsidP="009704D8">
      <w:pPr>
        <w:pStyle w:val="Default"/>
        <w:rPr>
          <w:sz w:val="20"/>
          <w:szCs w:val="20"/>
        </w:rPr>
      </w:pPr>
      <w:r>
        <w:rPr>
          <w:sz w:val="20"/>
          <w:szCs w:val="20"/>
        </w:rPr>
        <w:t xml:space="preserve">Performance evidence must be the main form of evidence gathered. </w:t>
      </w:r>
      <w:r w:rsidR="0099064E">
        <w:rPr>
          <w:sz w:val="20"/>
          <w:szCs w:val="20"/>
        </w:rPr>
        <w:t xml:space="preserve"> </w:t>
      </w:r>
    </w:p>
    <w:p w:rsidR="0099064E" w:rsidRDefault="0099064E" w:rsidP="009704D8">
      <w:pPr>
        <w:pStyle w:val="Default"/>
        <w:rPr>
          <w:sz w:val="20"/>
          <w:szCs w:val="20"/>
        </w:rPr>
      </w:pPr>
    </w:p>
    <w:p w:rsidR="009704D8" w:rsidRDefault="009704D8" w:rsidP="009704D8">
      <w:pPr>
        <w:pStyle w:val="Default"/>
        <w:rPr>
          <w:sz w:val="20"/>
          <w:szCs w:val="20"/>
        </w:rPr>
      </w:pPr>
      <w:r>
        <w:rPr>
          <w:sz w:val="20"/>
          <w:szCs w:val="20"/>
        </w:rPr>
        <w:t xml:space="preserve">In order to demonstrate consistent, competent performance for a unit, a minimum of </w:t>
      </w:r>
      <w:r>
        <w:rPr>
          <w:b/>
          <w:bCs/>
          <w:sz w:val="20"/>
          <w:szCs w:val="20"/>
        </w:rPr>
        <w:t xml:space="preserve">three </w:t>
      </w:r>
      <w:r>
        <w:rPr>
          <w:sz w:val="20"/>
          <w:szCs w:val="20"/>
        </w:rPr>
        <w:t xml:space="preserve">different examples of performance must be provided, and must be sufficient to show that the performance requirements of the unit have been carried out to the prescribed standards. The minimum number of items specified in each of the scope/range statements for a unit (e.g., four from a choice of six) must </w:t>
      </w:r>
      <w:r>
        <w:rPr>
          <w:b/>
          <w:bCs/>
          <w:sz w:val="20"/>
          <w:szCs w:val="20"/>
        </w:rPr>
        <w:t xml:space="preserve">all </w:t>
      </w:r>
      <w:r>
        <w:rPr>
          <w:sz w:val="20"/>
          <w:szCs w:val="20"/>
        </w:rPr>
        <w:t xml:space="preserve">be covered, and appropriate evidence provided. It is possible that some of the scope/range items may be covered more than once. If, however, the three examples of performance evidence are not sufficient to cover all the specified scope/range items, then further examples of performance evidence will be required to ensure this coverage is achieved. </w:t>
      </w:r>
    </w:p>
    <w:p w:rsidR="0099064E" w:rsidRDefault="0099064E" w:rsidP="009704D8">
      <w:pPr>
        <w:pStyle w:val="Default"/>
        <w:rPr>
          <w:sz w:val="20"/>
          <w:szCs w:val="20"/>
        </w:rPr>
      </w:pPr>
    </w:p>
    <w:p w:rsidR="009704D8" w:rsidRDefault="009704D8" w:rsidP="009704D8">
      <w:pPr>
        <w:pStyle w:val="Default"/>
        <w:rPr>
          <w:sz w:val="20"/>
          <w:szCs w:val="20"/>
        </w:rPr>
      </w:pPr>
      <w:r>
        <w:rPr>
          <w:sz w:val="20"/>
          <w:szCs w:val="20"/>
        </w:rPr>
        <w:t xml:space="preserve">The most effective way of assessing competence, especially for the performance statements in relation to scope items, is through direct observation of the candidate. Assessors must make sure that the evidence provided reflects the candidate’s competence and not just the achievement of a training programme. </w:t>
      </w:r>
    </w:p>
    <w:p w:rsidR="0099064E" w:rsidRDefault="0099064E" w:rsidP="009704D8">
      <w:pPr>
        <w:pStyle w:val="Default"/>
        <w:rPr>
          <w:sz w:val="20"/>
          <w:szCs w:val="20"/>
        </w:rPr>
      </w:pPr>
    </w:p>
    <w:p w:rsidR="009704D8" w:rsidRDefault="009704D8" w:rsidP="009704D8">
      <w:pPr>
        <w:pStyle w:val="Default"/>
        <w:rPr>
          <w:sz w:val="20"/>
          <w:szCs w:val="20"/>
        </w:rPr>
      </w:pPr>
      <w:r>
        <w:rPr>
          <w:sz w:val="20"/>
          <w:szCs w:val="20"/>
        </w:rPr>
        <w:t xml:space="preserve">Evidence that has been produced from team activities is only valid when it clearly relates to a candidate’s specific and </w:t>
      </w:r>
      <w:r>
        <w:rPr>
          <w:b/>
          <w:bCs/>
          <w:sz w:val="20"/>
          <w:szCs w:val="20"/>
        </w:rPr>
        <w:t xml:space="preserve">individual </w:t>
      </w:r>
      <w:r>
        <w:rPr>
          <w:sz w:val="20"/>
          <w:szCs w:val="20"/>
        </w:rPr>
        <w:t xml:space="preserve">contribution to the activity, and not to the general outcome(s). </w:t>
      </w:r>
    </w:p>
    <w:p w:rsidR="0099064E" w:rsidRDefault="0099064E" w:rsidP="009704D8">
      <w:pPr>
        <w:pStyle w:val="Default"/>
        <w:rPr>
          <w:sz w:val="20"/>
          <w:szCs w:val="20"/>
        </w:rPr>
      </w:pPr>
    </w:p>
    <w:p w:rsidR="009704D8" w:rsidRDefault="009704D8" w:rsidP="009704D8">
      <w:pPr>
        <w:pStyle w:val="Default"/>
        <w:rPr>
          <w:sz w:val="20"/>
          <w:szCs w:val="20"/>
        </w:rPr>
      </w:pPr>
      <w:r>
        <w:rPr>
          <w:sz w:val="20"/>
          <w:szCs w:val="20"/>
        </w:rPr>
        <w:t xml:space="preserve">Items of performance evidence often contain features that apply to more than one unit, and can be used as evidence in any unit where appropriate. </w:t>
      </w:r>
    </w:p>
    <w:p w:rsidR="00940875" w:rsidRDefault="00940875" w:rsidP="009704D8">
      <w:pPr>
        <w:pStyle w:val="Default"/>
        <w:rPr>
          <w:sz w:val="20"/>
          <w:szCs w:val="20"/>
        </w:rPr>
      </w:pPr>
    </w:p>
    <w:p w:rsidR="009704D8" w:rsidRDefault="009704D8" w:rsidP="009704D8">
      <w:pPr>
        <w:pStyle w:val="Default"/>
        <w:rPr>
          <w:sz w:val="20"/>
          <w:szCs w:val="20"/>
        </w:rPr>
      </w:pPr>
      <w:r>
        <w:rPr>
          <w:sz w:val="20"/>
          <w:szCs w:val="20"/>
        </w:rPr>
        <w:t xml:space="preserve">Performance evidence must be a combination of: </w:t>
      </w:r>
    </w:p>
    <w:p w:rsidR="00940875" w:rsidRDefault="00940875" w:rsidP="009704D8">
      <w:pPr>
        <w:pStyle w:val="Default"/>
        <w:rPr>
          <w:rFonts w:ascii="Wingdings" w:hAnsi="Wingdings" w:cs="Wingdings"/>
          <w:sz w:val="23"/>
          <w:szCs w:val="23"/>
        </w:rPr>
      </w:pPr>
    </w:p>
    <w:p w:rsidR="009704D8" w:rsidRDefault="009704D8" w:rsidP="00940875">
      <w:pPr>
        <w:pStyle w:val="Default"/>
        <w:numPr>
          <w:ilvl w:val="0"/>
          <w:numId w:val="10"/>
        </w:numPr>
        <w:rPr>
          <w:sz w:val="20"/>
          <w:szCs w:val="20"/>
        </w:rPr>
      </w:pPr>
      <w:r>
        <w:rPr>
          <w:sz w:val="20"/>
          <w:szCs w:val="20"/>
        </w:rPr>
        <w:t xml:space="preserve">products of the candidate’s work, such as items that have been produced or worked on, and documents produced as part of a work activity </w:t>
      </w:r>
    </w:p>
    <w:p w:rsidR="009704D8" w:rsidRDefault="009704D8" w:rsidP="009704D8">
      <w:pPr>
        <w:pStyle w:val="Default"/>
        <w:rPr>
          <w:sz w:val="20"/>
          <w:szCs w:val="20"/>
        </w:rPr>
      </w:pPr>
    </w:p>
    <w:p w:rsidR="009704D8" w:rsidRDefault="00940875" w:rsidP="009704D8">
      <w:pPr>
        <w:pStyle w:val="Default"/>
        <w:rPr>
          <w:sz w:val="20"/>
          <w:szCs w:val="20"/>
        </w:rPr>
      </w:pPr>
      <w:r>
        <w:rPr>
          <w:sz w:val="20"/>
          <w:szCs w:val="20"/>
        </w:rPr>
        <w:t>Together</w:t>
      </w:r>
      <w:r w:rsidR="009704D8">
        <w:rPr>
          <w:sz w:val="20"/>
          <w:szCs w:val="20"/>
        </w:rPr>
        <w:t xml:space="preserve"> with: </w:t>
      </w:r>
    </w:p>
    <w:p w:rsidR="009704D8" w:rsidRDefault="00940875" w:rsidP="00940875">
      <w:pPr>
        <w:pStyle w:val="Default"/>
        <w:numPr>
          <w:ilvl w:val="0"/>
          <w:numId w:val="10"/>
        </w:numPr>
        <w:rPr>
          <w:sz w:val="20"/>
          <w:szCs w:val="20"/>
        </w:rPr>
      </w:pPr>
      <w:r>
        <w:rPr>
          <w:sz w:val="20"/>
          <w:szCs w:val="20"/>
        </w:rPr>
        <w:t>Evidence</w:t>
      </w:r>
      <w:r w:rsidR="009704D8">
        <w:rPr>
          <w:sz w:val="20"/>
          <w:szCs w:val="20"/>
        </w:rPr>
        <w:t xml:space="preserve"> of the way the candidate carried out the activities such as witness testimonies, assessor observations or authenticated candidate reports, records or photographs of the work/activity carried out, etc. </w:t>
      </w:r>
    </w:p>
    <w:p w:rsidR="009704D8" w:rsidRDefault="009704D8" w:rsidP="009704D8">
      <w:pPr>
        <w:pStyle w:val="Default"/>
        <w:rPr>
          <w:sz w:val="20"/>
          <w:szCs w:val="20"/>
        </w:rPr>
      </w:pPr>
    </w:p>
    <w:p w:rsidR="009704D8" w:rsidRDefault="009704D8" w:rsidP="009704D8">
      <w:pPr>
        <w:pStyle w:val="Default"/>
        <w:rPr>
          <w:sz w:val="20"/>
          <w:szCs w:val="20"/>
        </w:rPr>
      </w:pPr>
      <w:r>
        <w:rPr>
          <w:sz w:val="20"/>
          <w:szCs w:val="20"/>
        </w:rPr>
        <w:t xml:space="preserve">Competent performance is more than just carrying out a series of individual set tasks. Many of the units contain statements that require the candidate to provide evidence that proves they are capable of combining the various features and techniques. Where this is the case, separate fragments of evidence would not provide this combination of features and techniques and will not, therefore, be acceptable as demonstrating competent performance. </w:t>
      </w:r>
    </w:p>
    <w:p w:rsidR="0099064E" w:rsidRDefault="0099064E" w:rsidP="009704D8">
      <w:pPr>
        <w:pStyle w:val="Default"/>
        <w:rPr>
          <w:sz w:val="20"/>
          <w:szCs w:val="20"/>
        </w:rPr>
      </w:pPr>
    </w:p>
    <w:p w:rsidR="009704D8" w:rsidRDefault="009704D8" w:rsidP="009704D8">
      <w:pPr>
        <w:pStyle w:val="Default"/>
        <w:rPr>
          <w:color w:val="auto"/>
        </w:rPr>
      </w:pPr>
      <w:r>
        <w:rPr>
          <w:sz w:val="20"/>
          <w:szCs w:val="20"/>
        </w:rPr>
        <w:t>If there is any doubt as to what constitutes suitable evidence, the external verifier should be consulted.</w:t>
      </w:r>
    </w:p>
    <w:sectPr w:rsidR="009704D8" w:rsidSect="00C00079">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DC3" w:rsidRDefault="004B5DC3" w:rsidP="005C11AC">
      <w:pPr>
        <w:spacing w:after="0" w:line="240" w:lineRule="auto"/>
      </w:pPr>
      <w:r>
        <w:separator/>
      </w:r>
    </w:p>
  </w:endnote>
  <w:endnote w:type="continuationSeparator" w:id="0">
    <w:p w:rsidR="004B5DC3" w:rsidRDefault="004B5DC3" w:rsidP="005C1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WP Typ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772626"/>
      <w:docPartObj>
        <w:docPartGallery w:val="Page Numbers (Bottom of Page)"/>
        <w:docPartUnique/>
      </w:docPartObj>
    </w:sdtPr>
    <w:sdtEndPr>
      <w:rPr>
        <w:noProof/>
      </w:rPr>
    </w:sdtEndPr>
    <w:sdtContent>
      <w:p w:rsidR="008145D2" w:rsidRDefault="008145D2">
        <w:pPr>
          <w:pStyle w:val="Footer"/>
          <w:jc w:val="center"/>
        </w:pPr>
        <w:r>
          <w:fldChar w:fldCharType="begin"/>
        </w:r>
        <w:r>
          <w:instrText xml:space="preserve"> PAGE   \* MERGEFORMAT </w:instrText>
        </w:r>
        <w:r>
          <w:fldChar w:fldCharType="separate"/>
        </w:r>
        <w:r w:rsidR="00860072">
          <w:rPr>
            <w:noProof/>
          </w:rPr>
          <w:t>2</w:t>
        </w:r>
        <w:r>
          <w:rPr>
            <w:noProof/>
          </w:rPr>
          <w:fldChar w:fldCharType="end"/>
        </w:r>
      </w:p>
    </w:sdtContent>
  </w:sdt>
  <w:p w:rsidR="008145D2" w:rsidRDefault="008145D2" w:rsidP="008145D2">
    <w:pPr>
      <w:pStyle w:val="Footer"/>
      <w:rPr>
        <w:sz w:val="16"/>
        <w:szCs w:val="16"/>
      </w:rPr>
    </w:pPr>
    <w:r w:rsidRPr="00214938">
      <w:rPr>
        <w:sz w:val="16"/>
        <w:szCs w:val="16"/>
      </w:rPr>
      <w:t xml:space="preserve">Assessment Strategy Scientific, Technical, Formulation </w:t>
    </w:r>
    <w:r>
      <w:rPr>
        <w:sz w:val="16"/>
        <w:szCs w:val="16"/>
      </w:rPr>
      <w:t xml:space="preserve">Processing </w:t>
    </w:r>
    <w:r w:rsidR="002D55AD">
      <w:rPr>
        <w:sz w:val="16"/>
        <w:szCs w:val="16"/>
      </w:rPr>
      <w:t>SVQs version</w:t>
    </w:r>
    <w:r w:rsidR="005F387D">
      <w:rPr>
        <w:sz w:val="16"/>
        <w:szCs w:val="16"/>
      </w:rPr>
      <w:t xml:space="preserve"> 1</w:t>
    </w:r>
    <w:r w:rsidR="002D55AD">
      <w:rPr>
        <w:sz w:val="16"/>
        <w:szCs w:val="16"/>
      </w:rPr>
      <w:t xml:space="preserve"> </w:t>
    </w:r>
    <w:r w:rsidR="005F387D">
      <w:rPr>
        <w:sz w:val="16"/>
        <w:szCs w:val="16"/>
      </w:rPr>
      <w:t>final</w:t>
    </w:r>
    <w:r>
      <w:rPr>
        <w:sz w:val="16"/>
        <w:szCs w:val="16"/>
      </w:rPr>
      <w:t>-</w:t>
    </w:r>
    <w:r w:rsidR="002D55AD">
      <w:rPr>
        <w:sz w:val="16"/>
        <w:szCs w:val="16"/>
      </w:rPr>
      <w:t xml:space="preserve"> 02</w:t>
    </w:r>
    <w:r w:rsidRPr="00214938">
      <w:rPr>
        <w:sz w:val="16"/>
        <w:szCs w:val="16"/>
      </w:rPr>
      <w:t>/2018</w:t>
    </w:r>
  </w:p>
  <w:p w:rsidR="00FB6C48" w:rsidRPr="00214938" w:rsidRDefault="00FB6C48" w:rsidP="008145D2">
    <w:pPr>
      <w:pStyle w:val="Footer"/>
      <w:rPr>
        <w:sz w:val="16"/>
        <w:szCs w:val="16"/>
      </w:rPr>
    </w:pPr>
    <w:r>
      <w:rPr>
        <w:sz w:val="16"/>
        <w:szCs w:val="16"/>
      </w:rPr>
      <w:t>AS Approved at ACG 14 February 2018</w:t>
    </w:r>
  </w:p>
  <w:p w:rsidR="00214938" w:rsidRDefault="0021493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DC3" w:rsidRDefault="004B5DC3" w:rsidP="005C11AC">
      <w:pPr>
        <w:spacing w:after="0" w:line="240" w:lineRule="auto"/>
      </w:pPr>
      <w:r>
        <w:separator/>
      </w:r>
    </w:p>
  </w:footnote>
  <w:footnote w:type="continuationSeparator" w:id="0">
    <w:p w:rsidR="004B5DC3" w:rsidRDefault="004B5DC3" w:rsidP="005C1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67" w:rsidRDefault="00C00079">
    <w:pPr>
      <w:pStyle w:val="Header"/>
    </w:pPr>
    <w:r>
      <w:rPr>
        <w:noProof/>
        <w:lang w:eastAsia="en-GB"/>
      </w:rPr>
      <w:drawing>
        <wp:inline distT="0" distB="0" distL="0" distR="0" wp14:anchorId="18E2DF5B" wp14:editId="529F520A">
          <wp:extent cx="1820174" cy="845388"/>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32100" cy="850927"/>
                  </a:xfrm>
                  <a:prstGeom prst="rect">
                    <a:avLst/>
                  </a:prstGeom>
                </pic:spPr>
              </pic:pic>
            </a:graphicData>
          </a:graphic>
        </wp:inline>
      </w:drawing>
    </w:r>
  </w:p>
  <w:p w:rsidR="00332667" w:rsidRDefault="0033266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B7E25"/>
    <w:multiLevelType w:val="hybridMultilevel"/>
    <w:tmpl w:val="1570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72640"/>
    <w:multiLevelType w:val="hybridMultilevel"/>
    <w:tmpl w:val="4BB8245E"/>
    <w:lvl w:ilvl="0" w:tplc="2AAEB2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9B7D29"/>
    <w:multiLevelType w:val="hybridMultilevel"/>
    <w:tmpl w:val="92CE76D0"/>
    <w:lvl w:ilvl="0" w:tplc="DE26F2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9549F5"/>
    <w:multiLevelType w:val="hybridMultilevel"/>
    <w:tmpl w:val="3D98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A55321"/>
    <w:multiLevelType w:val="hybridMultilevel"/>
    <w:tmpl w:val="7FEC1B78"/>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23A0F8E"/>
    <w:multiLevelType w:val="hybridMultilevel"/>
    <w:tmpl w:val="056A3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6B5D89"/>
    <w:multiLevelType w:val="hybridMultilevel"/>
    <w:tmpl w:val="CBEE1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B86B66"/>
    <w:multiLevelType w:val="hybridMultilevel"/>
    <w:tmpl w:val="D756B124"/>
    <w:lvl w:ilvl="0" w:tplc="31C0E8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9A2A94"/>
    <w:multiLevelType w:val="hybridMultilevel"/>
    <w:tmpl w:val="6DE6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615EE4"/>
    <w:multiLevelType w:val="hybridMultilevel"/>
    <w:tmpl w:val="54F6D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7"/>
  </w:num>
  <w:num w:numId="5">
    <w:abstractNumId w:val="3"/>
  </w:num>
  <w:num w:numId="6">
    <w:abstractNumId w:val="9"/>
  </w:num>
  <w:num w:numId="7">
    <w:abstractNumId w:val="8"/>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73"/>
    <w:rsid w:val="0004400C"/>
    <w:rsid w:val="00214938"/>
    <w:rsid w:val="00235C1E"/>
    <w:rsid w:val="0029112C"/>
    <w:rsid w:val="002D55AD"/>
    <w:rsid w:val="00332667"/>
    <w:rsid w:val="003C6A73"/>
    <w:rsid w:val="003F28B4"/>
    <w:rsid w:val="004B5DC3"/>
    <w:rsid w:val="00553022"/>
    <w:rsid w:val="005C11AC"/>
    <w:rsid w:val="005F387D"/>
    <w:rsid w:val="00734A0B"/>
    <w:rsid w:val="00743DEF"/>
    <w:rsid w:val="00751314"/>
    <w:rsid w:val="007B08B3"/>
    <w:rsid w:val="008037D4"/>
    <w:rsid w:val="00805092"/>
    <w:rsid w:val="008145D2"/>
    <w:rsid w:val="008511B7"/>
    <w:rsid w:val="00860072"/>
    <w:rsid w:val="008759CD"/>
    <w:rsid w:val="00902DC2"/>
    <w:rsid w:val="00940875"/>
    <w:rsid w:val="009704D8"/>
    <w:rsid w:val="0099064E"/>
    <w:rsid w:val="009B4DF2"/>
    <w:rsid w:val="00A8687F"/>
    <w:rsid w:val="00C00079"/>
    <w:rsid w:val="00D07E36"/>
    <w:rsid w:val="00D8522A"/>
    <w:rsid w:val="00ED618C"/>
    <w:rsid w:val="00EE61E7"/>
    <w:rsid w:val="00F977C1"/>
    <w:rsid w:val="00FB6C48"/>
    <w:rsid w:val="00FC2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D23646"/>
  <w15:docId w15:val="{A6106FA2-8ADB-441C-9165-3752F245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26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6A7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C1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1AC"/>
  </w:style>
  <w:style w:type="paragraph" w:styleId="Footer">
    <w:name w:val="footer"/>
    <w:basedOn w:val="Normal"/>
    <w:link w:val="FooterChar"/>
    <w:uiPriority w:val="99"/>
    <w:unhideWhenUsed/>
    <w:rsid w:val="005C1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1AC"/>
  </w:style>
  <w:style w:type="character" w:customStyle="1" w:styleId="Heading1Char">
    <w:name w:val="Heading 1 Char"/>
    <w:basedOn w:val="DefaultParagraphFont"/>
    <w:link w:val="Heading1"/>
    <w:uiPriority w:val="9"/>
    <w:rsid w:val="0033266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32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667"/>
    <w:rPr>
      <w:rFonts w:ascii="Tahoma" w:hAnsi="Tahoma" w:cs="Tahoma"/>
      <w:sz w:val="16"/>
      <w:szCs w:val="16"/>
    </w:rPr>
  </w:style>
  <w:style w:type="paragraph" w:styleId="ListParagraph">
    <w:name w:val="List Paragraph"/>
    <w:basedOn w:val="Normal"/>
    <w:uiPriority w:val="34"/>
    <w:qFormat/>
    <w:rsid w:val="00D07E36"/>
    <w:pPr>
      <w:ind w:left="720"/>
      <w:contextualSpacing/>
    </w:pPr>
  </w:style>
  <w:style w:type="character" w:styleId="CommentReference">
    <w:name w:val="annotation reference"/>
    <w:basedOn w:val="DefaultParagraphFont"/>
    <w:uiPriority w:val="99"/>
    <w:semiHidden/>
    <w:unhideWhenUsed/>
    <w:rsid w:val="008037D4"/>
    <w:rPr>
      <w:sz w:val="16"/>
      <w:szCs w:val="16"/>
    </w:rPr>
  </w:style>
  <w:style w:type="paragraph" w:styleId="CommentText">
    <w:name w:val="annotation text"/>
    <w:basedOn w:val="Normal"/>
    <w:link w:val="CommentTextChar"/>
    <w:uiPriority w:val="99"/>
    <w:semiHidden/>
    <w:unhideWhenUsed/>
    <w:rsid w:val="008037D4"/>
    <w:pPr>
      <w:spacing w:line="240" w:lineRule="auto"/>
    </w:pPr>
    <w:rPr>
      <w:sz w:val="20"/>
      <w:szCs w:val="20"/>
    </w:rPr>
  </w:style>
  <w:style w:type="character" w:customStyle="1" w:styleId="CommentTextChar">
    <w:name w:val="Comment Text Char"/>
    <w:basedOn w:val="DefaultParagraphFont"/>
    <w:link w:val="CommentText"/>
    <w:uiPriority w:val="99"/>
    <w:semiHidden/>
    <w:rsid w:val="008037D4"/>
    <w:rPr>
      <w:sz w:val="20"/>
      <w:szCs w:val="20"/>
    </w:rPr>
  </w:style>
  <w:style w:type="paragraph" w:styleId="CommentSubject">
    <w:name w:val="annotation subject"/>
    <w:basedOn w:val="CommentText"/>
    <w:next w:val="CommentText"/>
    <w:link w:val="CommentSubjectChar"/>
    <w:uiPriority w:val="99"/>
    <w:semiHidden/>
    <w:unhideWhenUsed/>
    <w:rsid w:val="008037D4"/>
    <w:rPr>
      <w:b/>
      <w:bCs/>
    </w:rPr>
  </w:style>
  <w:style w:type="character" w:customStyle="1" w:styleId="CommentSubjectChar">
    <w:name w:val="Comment Subject Char"/>
    <w:basedOn w:val="CommentTextChar"/>
    <w:link w:val="CommentSubject"/>
    <w:uiPriority w:val="99"/>
    <w:semiHidden/>
    <w:rsid w:val="008037D4"/>
    <w:rPr>
      <w:b/>
      <w:bCs/>
      <w:sz w:val="20"/>
      <w:szCs w:val="20"/>
    </w:rPr>
  </w:style>
  <w:style w:type="table" w:styleId="TableGrid">
    <w:name w:val="Table Grid"/>
    <w:basedOn w:val="TableNormal"/>
    <w:uiPriority w:val="59"/>
    <w:rsid w:val="00FC25C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2619</Words>
  <Characters>14933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Bruce</dc:creator>
  <cp:lastModifiedBy>Karen Breslin</cp:lastModifiedBy>
  <cp:revision>5</cp:revision>
  <dcterms:created xsi:type="dcterms:W3CDTF">2018-02-15T11:25:00Z</dcterms:created>
  <dcterms:modified xsi:type="dcterms:W3CDTF">2018-02-15T13:22:00Z</dcterms:modified>
</cp:coreProperties>
</file>