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705334132"/>
        <w:docPartObj>
          <w:docPartGallery w:val="Cover Pages"/>
          <w:docPartUnique/>
        </w:docPartObj>
      </w:sdtPr>
      <w:sdtEndPr/>
      <w:sdtContent>
        <w:p w14:paraId="097BC8B2" w14:textId="77777777" w:rsidR="00896712" w:rsidRDefault="00896712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6D7F5B4" wp14:editId="65F9E3A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632CE6" w14:textId="77777777" w:rsidR="00896712" w:rsidRDefault="0089671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6D7F5B4" id="Rectangle 34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" fillcolor="#f1efe6 [2579]" stroked="f" strokeweight="2pt">
                    <v:fill color2="#575131 [963]" rotate="t" focusposition=".5,.5" focussize="" focus="100%" type="gradientRadial"/>
                    <v:textbox inset="21.6pt,,21.6pt">
                      <w:txbxContent>
                        <w:p w14:paraId="50632CE6" w14:textId="77777777" w:rsidR="00896712" w:rsidRDefault="0089671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E9FD277" wp14:editId="1459F3A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3441065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74F8CD" w14:textId="77777777" w:rsidR="00896712" w:rsidRDefault="00532595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2791300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34815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3E9FD277" id="Rectangle 35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" fillcolor="#1f497d [3215]" stroked="f" strokeweight="2pt">
                    <v:textbox inset="14.4pt,14.4pt,14.4pt,28.8pt">
                      <w:txbxContent>
                        <w:p w14:paraId="2C74F8CD" w14:textId="77777777" w:rsidR="00896712" w:rsidRDefault="00532595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2791300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734815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E60285" wp14:editId="67FB9DE0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3327400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F531C38" id="Rectangle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E49A5A" wp14:editId="6F0251D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3441065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7382510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9D46D9" id="Rectangle 3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09F168" wp14:editId="637EF00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3441065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3744595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noProof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alias w:val="Title"/>
                                  <w:id w:val="29033722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C0076D0" w14:textId="77777777" w:rsidR="00896712" w:rsidRPr="00734815" w:rsidRDefault="00734815" w:rsidP="00734815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noProof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C65C0B">
                                      <w:rPr>
                                        <w:rFonts w:asciiTheme="majorHAnsi" w:hAnsiTheme="majorHAnsi"/>
                                        <w:noProof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>Assessment Strategy</w:t>
                                    </w:r>
                                  </w:p>
                                </w:sdtContent>
                              </w:sdt>
                              <w:p w14:paraId="7BDAEC85" w14:textId="77777777" w:rsidR="00C65C0B" w:rsidRDefault="00532595" w:rsidP="0073481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noProof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alias w:val="Subtitle"/>
                                    <w:id w:val="-159825083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57F08" w:rsidRPr="00C65C0B"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 xml:space="preserve">Diploma </w:t>
                                    </w:r>
                                    <w:r w:rsidR="00734815" w:rsidRPr="00C65C0B"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 xml:space="preserve">in </w:t>
                                    </w:r>
                                    <w:r w:rsidR="00CF6CD2" w:rsidRPr="00C65C0B"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>Learning</w:t>
                                    </w:r>
                                    <w:r w:rsidR="00734815" w:rsidRPr="00C65C0B"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 xml:space="preserve"> and </w:t>
                                    </w:r>
                                    <w:r w:rsidR="00CF6CD2" w:rsidRPr="00C65C0B"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>Development</w:t>
                                    </w:r>
                                  </w:sdtContent>
                                </w:sdt>
                                <w:r w:rsidR="00876F7A" w:rsidRPr="00C65C0B"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C65C0B" w:rsidRPr="00C65C0B"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at</w:t>
                                </w:r>
                                <w:r w:rsidR="00C65C0B"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  <w:t xml:space="preserve"> SCQF level 8 &amp; 9</w:t>
                                </w:r>
                              </w:p>
                              <w:p w14:paraId="78DAE4D2" w14:textId="58ACE506" w:rsidR="00896712" w:rsidRPr="00C65C0B" w:rsidRDefault="00876F7A" w:rsidP="0073481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C65C0B"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GROY 48</w:t>
                                </w:r>
                                <w:r w:rsidR="00273C87" w:rsidRPr="00C65C0B"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  <w:t xml:space="preserve"> &amp; </w:t>
                                </w:r>
                                <w:r w:rsidR="00053EBD" w:rsidRPr="00C65C0B"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GR2J</w:t>
                                </w:r>
                                <w:r w:rsidR="00273C87" w:rsidRPr="00C65C0B"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40"/>
                                    <w:szCs w:val="40"/>
                                  </w:rPr>
                                  <w:t xml:space="preserve"> 49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4709F1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nQUYgTkCAABp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noProof/>
                              <w:color w:val="4F81BD" w:themeColor="accent1"/>
                              <w:sz w:val="56"/>
                              <w:szCs w:val="56"/>
                            </w:rPr>
                            <w:alias w:val="Title"/>
                            <w:id w:val="29033722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C0076D0" w14:textId="77777777" w:rsidR="00896712" w:rsidRPr="00734815" w:rsidRDefault="00734815" w:rsidP="00734815">
                              <w:pPr>
                                <w:jc w:val="center"/>
                                <w:rPr>
                                  <w:rFonts w:asciiTheme="majorHAnsi" w:hAnsiTheme="majorHAnsi"/>
                                  <w:noProof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 w:rsidRPr="00C65C0B">
                                <w:rPr>
                                  <w:rFonts w:asciiTheme="majorHAnsi" w:hAnsiTheme="majorHAnsi"/>
                                  <w:noProof/>
                                  <w:color w:val="4F81BD" w:themeColor="accent1"/>
                                  <w:sz w:val="56"/>
                                  <w:szCs w:val="56"/>
                                </w:rPr>
                                <w:t>Assessment Strategy</w:t>
                              </w:r>
                            </w:p>
                          </w:sdtContent>
                        </w:sdt>
                        <w:p w14:paraId="7BDAEC85" w14:textId="77777777" w:rsidR="00C65C0B" w:rsidRDefault="00532595" w:rsidP="00734815">
                          <w:pPr>
                            <w:jc w:val="center"/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noProof/>
                                <w:color w:val="1F497D" w:themeColor="text2"/>
                                <w:sz w:val="40"/>
                                <w:szCs w:val="40"/>
                              </w:rPr>
                              <w:alias w:val="Subtitle"/>
                              <w:id w:val="-159825083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57F08" w:rsidRPr="00C65C0B"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40"/>
                                  <w:szCs w:val="40"/>
                                </w:rPr>
                                <w:t xml:space="preserve">Diploma </w:t>
                              </w:r>
                              <w:r w:rsidR="00734815" w:rsidRPr="00C65C0B"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40"/>
                                  <w:szCs w:val="40"/>
                                </w:rPr>
                                <w:t xml:space="preserve">in </w:t>
                              </w:r>
                              <w:r w:rsidR="00CF6CD2" w:rsidRPr="00C65C0B"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40"/>
                                  <w:szCs w:val="40"/>
                                </w:rPr>
                                <w:t>Learning</w:t>
                              </w:r>
                              <w:r w:rsidR="00734815" w:rsidRPr="00C65C0B"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40"/>
                                  <w:szCs w:val="40"/>
                                </w:rPr>
                                <w:t xml:space="preserve"> and </w:t>
                              </w:r>
                              <w:r w:rsidR="00CF6CD2" w:rsidRPr="00C65C0B"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40"/>
                                  <w:szCs w:val="40"/>
                                </w:rPr>
                                <w:t>Development</w:t>
                              </w:r>
                            </w:sdtContent>
                          </w:sdt>
                          <w:r w:rsidR="00876F7A" w:rsidRPr="00C65C0B"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  <w:r w:rsidR="00C65C0B" w:rsidRPr="00C65C0B"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>at</w:t>
                          </w:r>
                          <w:r w:rsidR="00C65C0B"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 xml:space="preserve"> SCQF level 8 &amp; 9</w:t>
                          </w:r>
                        </w:p>
                        <w:p w14:paraId="78DAE4D2" w14:textId="58ACE506" w:rsidR="00896712" w:rsidRPr="00C65C0B" w:rsidRDefault="00876F7A" w:rsidP="00734815">
                          <w:pPr>
                            <w:jc w:val="center"/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C65C0B"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>GROY 48</w:t>
                          </w:r>
                          <w:r w:rsidR="00273C87" w:rsidRPr="00C65C0B"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 xml:space="preserve"> &amp; </w:t>
                          </w:r>
                          <w:r w:rsidR="00053EBD" w:rsidRPr="00C65C0B"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>GR2J</w:t>
                          </w:r>
                          <w:r w:rsidR="00273C87" w:rsidRPr="00C65C0B"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40"/>
                              <w:szCs w:val="40"/>
                            </w:rPr>
                            <w:t xml:space="preserve"> 49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CEFC73" w14:textId="77777777" w:rsidR="00896712" w:rsidRDefault="00896712">
          <w:r>
            <w:rPr>
              <w:noProof/>
              <w:lang w:eastAsia="en-GB"/>
            </w:rPr>
            <w:drawing>
              <wp:inline distT="0" distB="0" distL="0" distR="0" wp14:anchorId="17CB472A" wp14:editId="6C75CB14">
                <wp:extent cx="2030680" cy="1223159"/>
                <wp:effectExtent l="0" t="0" r="825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914" cy="122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B7B2EC" w14:textId="77777777" w:rsidR="00896712" w:rsidRDefault="00896712"/>
        <w:p w14:paraId="3157FE59" w14:textId="77777777" w:rsidR="00896712" w:rsidRDefault="00294E68">
          <w:pPr>
            <w:rPr>
              <w:rFonts w:ascii="Calibri" w:hAnsi="Calibri" w:cs="Calibri"/>
              <w:color w:val="000000"/>
              <w:sz w:val="24"/>
              <w:szCs w:val="24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DFCC0A3" wp14:editId="64772F8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3441065</wp:posOffset>
                        </wp:positionH>
                      </mc:Fallback>
                    </mc:AlternateContent>
                    <wp:positionV relativeFrom="page">
                      <wp:posOffset>6950075</wp:posOffset>
                    </wp:positionV>
                    <wp:extent cx="2797810" cy="268605"/>
                    <wp:effectExtent l="0" t="0" r="0" b="0"/>
                    <wp:wrapSquare wrapText="bothSides"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FA6FFBE" w14:textId="287A8D4C" w:rsidR="00294E68" w:rsidRPr="00734815" w:rsidRDefault="00532595">
                                <w:pPr>
                                  <w:pStyle w:val="NoSpacing"/>
                                  <w:rPr>
                                    <w:rFonts w:ascii="Cambria" w:hAnsi="Cambria"/>
                                    <w:noProof/>
                                    <w:color w:val="1F497D" w:themeColor="text2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hAnsi="Cambria"/>
                                      <w:noProof/>
                                      <w:color w:val="1F497D" w:themeColor="text2"/>
                                    </w:rPr>
                                    <w:alias w:val="Author"/>
                                    <w:id w:val="181969107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7E34">
                                      <w:rPr>
                                        <w:rFonts w:ascii="Cambria" w:hAnsi="Cambria"/>
                                        <w:noProof/>
                                        <w:color w:val="1F497D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294E68">
                                  <w:rPr>
                                    <w:rFonts w:ascii="Cambria" w:hAnsi="Cambria"/>
                                    <w:noProof/>
                                    <w:color w:val="1F497D" w:themeColor="text2"/>
                                  </w:rPr>
                                  <w:t xml:space="preserve">Version </w:t>
                                </w:r>
                                <w:r w:rsidR="00273C87">
                                  <w:rPr>
                                    <w:rFonts w:ascii="Cambria" w:hAnsi="Cambria"/>
                                    <w:noProof/>
                                    <w:color w:val="1F497D" w:themeColor="text2"/>
                                  </w:rPr>
                                  <w:t>2</w:t>
                                </w:r>
                                <w:r w:rsidR="00243BF6">
                                  <w:rPr>
                                    <w:rFonts w:ascii="Cambria" w:hAnsi="Cambria"/>
                                    <w:noProof/>
                                    <w:color w:val="1F497D" w:themeColor="text2"/>
                                  </w:rPr>
                                  <w:t xml:space="preserve"> : </w:t>
                                </w:r>
                                <w:r w:rsidR="00957F08">
                                  <w:rPr>
                                    <w:rFonts w:ascii="Cambria" w:hAnsi="Cambria"/>
                                    <w:noProof/>
                                    <w:color w:val="1F497D" w:themeColor="text2"/>
                                  </w:rPr>
                                  <w:t>06/04</w:t>
                                </w:r>
                                <w:r w:rsidR="001B2660">
                                  <w:rPr>
                                    <w:rFonts w:ascii="Cambria" w:hAnsi="Cambria"/>
                                    <w:noProof/>
                                    <w:color w:val="1F497D" w:themeColor="text2"/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FCC0A3" id="Text Box 33" o:spid="_x0000_s1029" type="#_x0000_t202" style="position:absolute;margin-left:0;margin-top:547.25pt;width:220.3pt;height:21.15pt;z-index:251664384;visibility:visible;mso-wrap-style:square;mso-width-percent:360;mso-height-percent:0;mso-left-percent:455;mso-wrap-distance-left:9pt;mso-wrap-distance-top:0;mso-wrap-distance-right:9pt;mso-wrap-distance-bottom:0;mso-position-horizontal-relative:page;mso-position-vertical:absolute;mso-position-vertical-relative:page;mso-width-percent:360;mso-height-percent:0;mso-left-percent:455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" filled="f" stroked="f" strokeweight=".5pt">
                    <v:textbox style="mso-fit-shape-to-text:t">
                      <w:txbxContent>
                        <w:p w14:paraId="2FA6FFBE" w14:textId="287A8D4C" w:rsidR="00294E68" w:rsidRPr="00734815" w:rsidRDefault="00532595">
                          <w:pPr>
                            <w:pStyle w:val="NoSpacing"/>
                            <w:rPr>
                              <w:rFonts w:ascii="Cambria" w:hAnsi="Cambria"/>
                              <w:noProof/>
                              <w:color w:val="1F497D" w:themeColor="text2"/>
                            </w:rPr>
                          </w:pPr>
                          <w:sdt>
                            <w:sdtPr>
                              <w:rPr>
                                <w:rFonts w:ascii="Cambria" w:hAnsi="Cambria"/>
                                <w:noProof/>
                                <w:color w:val="1F497D" w:themeColor="text2"/>
                              </w:rPr>
                              <w:alias w:val="Author"/>
                              <w:id w:val="181969107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57E34">
                                <w:rPr>
                                  <w:rFonts w:ascii="Cambria" w:hAnsi="Cambria"/>
                                  <w:noProof/>
                                  <w:color w:val="1F497D" w:themeColor="text2"/>
                                </w:rPr>
                                <w:t xml:space="preserve">     </w:t>
                              </w:r>
                            </w:sdtContent>
                          </w:sdt>
                          <w:r w:rsidR="00294E68">
                            <w:rPr>
                              <w:rFonts w:ascii="Cambria" w:hAnsi="Cambria"/>
                              <w:noProof/>
                              <w:color w:val="1F497D" w:themeColor="text2"/>
                            </w:rPr>
                            <w:t xml:space="preserve">Version </w:t>
                          </w:r>
                          <w:r w:rsidR="00273C87">
                            <w:rPr>
                              <w:rFonts w:ascii="Cambria" w:hAnsi="Cambria"/>
                              <w:noProof/>
                              <w:color w:val="1F497D" w:themeColor="text2"/>
                            </w:rPr>
                            <w:t>2</w:t>
                          </w:r>
                          <w:r w:rsidR="00243BF6">
                            <w:rPr>
                              <w:rFonts w:ascii="Cambria" w:hAnsi="Cambria"/>
                              <w:noProof/>
                              <w:color w:val="1F497D" w:themeColor="text2"/>
                            </w:rPr>
                            <w:t xml:space="preserve"> : </w:t>
                          </w:r>
                          <w:r w:rsidR="00957F08">
                            <w:rPr>
                              <w:rFonts w:ascii="Cambria" w:hAnsi="Cambria"/>
                              <w:noProof/>
                              <w:color w:val="1F497D" w:themeColor="text2"/>
                            </w:rPr>
                            <w:t>06/04</w:t>
                          </w:r>
                          <w:r w:rsidR="001B2660">
                            <w:rPr>
                              <w:rFonts w:ascii="Cambria" w:hAnsi="Cambria"/>
                              <w:noProof/>
                              <w:color w:val="1F497D" w:themeColor="text2"/>
                            </w:rPr>
                            <w:t>/2019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96712">
            <w:br w:type="page"/>
          </w:r>
        </w:p>
      </w:sdtContent>
    </w:sdt>
    <w:p w14:paraId="17C5646A" w14:textId="77777777" w:rsidR="00276AE2" w:rsidRDefault="00276AE2" w:rsidP="00276AE2">
      <w:pPr>
        <w:pStyle w:val="Default"/>
      </w:pPr>
    </w:p>
    <w:p w14:paraId="0AAA064F" w14:textId="77777777" w:rsidR="00276AE2" w:rsidRDefault="00276AE2" w:rsidP="00276AE2">
      <w:pPr>
        <w:pStyle w:val="Default"/>
      </w:pPr>
      <w:r>
        <w:t xml:space="preserve">  </w:t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    </w:t>
      </w:r>
      <w:r>
        <w:t xml:space="preserve"> </w:t>
      </w:r>
    </w:p>
    <w:p w14:paraId="37C0C956" w14:textId="77777777" w:rsidR="00276AE2" w:rsidRDefault="00276AE2" w:rsidP="00276AE2">
      <w:pPr>
        <w:pStyle w:val="Default"/>
      </w:pPr>
    </w:p>
    <w:p w14:paraId="79F8AA67" w14:textId="77777777" w:rsidR="00896712" w:rsidRDefault="00896712" w:rsidP="00896712">
      <w:pPr>
        <w:pStyle w:val="Default"/>
      </w:pPr>
    </w:p>
    <w:p w14:paraId="53AE1A2B" w14:textId="77777777" w:rsidR="00896712" w:rsidRPr="00734815" w:rsidRDefault="00896712" w:rsidP="00896712">
      <w:pPr>
        <w:pStyle w:val="Default"/>
        <w:rPr>
          <w:sz w:val="56"/>
          <w:szCs w:val="56"/>
        </w:rPr>
      </w:pPr>
      <w:r w:rsidRPr="00896712">
        <w:rPr>
          <w:sz w:val="56"/>
          <w:szCs w:val="56"/>
        </w:rPr>
        <w:t xml:space="preserve"> </w:t>
      </w:r>
      <w:r w:rsidR="00734815" w:rsidRPr="00734815">
        <w:rPr>
          <w:rFonts w:ascii="Cambria" w:hAnsi="Cambria"/>
          <w:b/>
          <w:noProof/>
          <w:sz w:val="48"/>
          <w:szCs w:val="48"/>
          <w:lang w:eastAsia="en-GB"/>
        </w:rPr>
        <w:t>Contents</w:t>
      </w:r>
    </w:p>
    <w:p w14:paraId="592EBB10" w14:textId="77777777" w:rsidR="00896712" w:rsidRPr="00734815" w:rsidRDefault="00896712" w:rsidP="00896712">
      <w:pPr>
        <w:pStyle w:val="Default"/>
        <w:rPr>
          <w:rFonts w:ascii="Cambria" w:hAnsi="Cambria"/>
        </w:rPr>
      </w:pPr>
    </w:p>
    <w:p w14:paraId="70CB2DAD" w14:textId="77777777" w:rsidR="00896712" w:rsidRPr="00734815" w:rsidRDefault="00896712" w:rsidP="00896712">
      <w:pPr>
        <w:pStyle w:val="Default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992"/>
      </w:tblGrid>
      <w:tr w:rsidR="00896712" w:rsidRPr="00734815" w14:paraId="5E761021" w14:textId="77777777" w:rsidTr="00734815">
        <w:trPr>
          <w:trHeight w:val="110"/>
        </w:trPr>
        <w:tc>
          <w:tcPr>
            <w:tcW w:w="1242" w:type="dxa"/>
          </w:tcPr>
          <w:p w14:paraId="3DA43006" w14:textId="77777777" w:rsidR="00896712" w:rsidRPr="00734815" w:rsidRDefault="00734815">
            <w:pPr>
              <w:pStyle w:val="Default"/>
              <w:rPr>
                <w:rFonts w:ascii="Cambria" w:hAnsi="Cambria"/>
                <w:b/>
                <w:sz w:val="28"/>
                <w:szCs w:val="28"/>
              </w:rPr>
            </w:pPr>
            <w:r w:rsidRPr="00734815">
              <w:rPr>
                <w:rFonts w:ascii="Cambria" w:hAnsi="Cambria"/>
                <w:b/>
                <w:sz w:val="28"/>
                <w:szCs w:val="28"/>
              </w:rPr>
              <w:t>Section</w:t>
            </w:r>
            <w:r w:rsidR="00896712" w:rsidRPr="00734815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14:paraId="5ED3187D" w14:textId="77777777" w:rsidR="00896712" w:rsidRPr="00734815" w:rsidRDefault="00734815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734815">
              <w:rPr>
                <w:rFonts w:ascii="Cambria" w:hAnsi="Cambria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992" w:type="dxa"/>
          </w:tcPr>
          <w:p w14:paraId="635F6A18" w14:textId="77777777" w:rsidR="00896712" w:rsidRPr="00734815" w:rsidRDefault="00896712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734815">
              <w:rPr>
                <w:rFonts w:ascii="Cambria" w:hAnsi="Cambria"/>
                <w:b/>
                <w:bCs/>
                <w:sz w:val="28"/>
                <w:szCs w:val="28"/>
              </w:rPr>
              <w:t xml:space="preserve">Page </w:t>
            </w:r>
          </w:p>
        </w:tc>
      </w:tr>
      <w:tr w:rsidR="00896712" w:rsidRPr="00734815" w14:paraId="7C9EF81A" w14:textId="77777777" w:rsidTr="00734815">
        <w:trPr>
          <w:trHeight w:val="99"/>
        </w:trPr>
        <w:tc>
          <w:tcPr>
            <w:tcW w:w="1242" w:type="dxa"/>
          </w:tcPr>
          <w:p w14:paraId="7255B407" w14:textId="77777777" w:rsidR="00896712" w:rsidRPr="00734815" w:rsidRDefault="00896712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734815">
              <w:rPr>
                <w:rFonts w:ascii="Cambria" w:hAnsi="Cambria"/>
                <w:sz w:val="28"/>
                <w:szCs w:val="28"/>
              </w:rPr>
              <w:t xml:space="preserve">1 </w:t>
            </w:r>
          </w:p>
        </w:tc>
        <w:tc>
          <w:tcPr>
            <w:tcW w:w="6663" w:type="dxa"/>
          </w:tcPr>
          <w:p w14:paraId="5CE85BEA" w14:textId="77777777" w:rsidR="00896712" w:rsidRPr="00734815" w:rsidRDefault="00896712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734815">
              <w:rPr>
                <w:rFonts w:ascii="Cambria" w:hAnsi="Cambria"/>
                <w:sz w:val="28"/>
                <w:szCs w:val="28"/>
              </w:rPr>
              <w:t xml:space="preserve">Introduction </w:t>
            </w:r>
          </w:p>
        </w:tc>
        <w:tc>
          <w:tcPr>
            <w:tcW w:w="992" w:type="dxa"/>
          </w:tcPr>
          <w:p w14:paraId="591B0516" w14:textId="77777777" w:rsidR="00896712" w:rsidRPr="00734815" w:rsidRDefault="005C3000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896712" w:rsidRPr="00734815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896712" w:rsidRPr="00734815" w14:paraId="6F831CA0" w14:textId="77777777" w:rsidTr="00734815">
        <w:trPr>
          <w:trHeight w:val="99"/>
        </w:trPr>
        <w:tc>
          <w:tcPr>
            <w:tcW w:w="1242" w:type="dxa"/>
          </w:tcPr>
          <w:p w14:paraId="79A0F8D9" w14:textId="77777777" w:rsidR="00896712" w:rsidRPr="00734815" w:rsidRDefault="005C3000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2F77A354" w14:textId="252CFD2B" w:rsidR="00896712" w:rsidRPr="00734815" w:rsidRDefault="00896712" w:rsidP="00A329E7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734815">
              <w:rPr>
                <w:rFonts w:ascii="Cambria" w:hAnsi="Cambria"/>
                <w:sz w:val="28"/>
                <w:szCs w:val="28"/>
              </w:rPr>
              <w:t>Requirements of assessors</w:t>
            </w:r>
            <w:r w:rsidR="00A329E7">
              <w:rPr>
                <w:rFonts w:ascii="Cambria" w:hAnsi="Cambria"/>
                <w:sz w:val="28"/>
                <w:szCs w:val="28"/>
              </w:rPr>
              <w:t xml:space="preserve">, </w:t>
            </w:r>
            <w:r w:rsidRPr="00734815">
              <w:rPr>
                <w:rFonts w:ascii="Cambria" w:hAnsi="Cambria"/>
                <w:sz w:val="28"/>
                <w:szCs w:val="28"/>
              </w:rPr>
              <w:t>internal verifiers</w:t>
            </w:r>
            <w:r w:rsidR="00A329E7">
              <w:rPr>
                <w:rFonts w:ascii="Cambria" w:hAnsi="Cambria"/>
                <w:sz w:val="28"/>
                <w:szCs w:val="28"/>
              </w:rPr>
              <w:t xml:space="preserve"> and internal verifiers</w:t>
            </w:r>
            <w:r w:rsidRPr="00734815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BC1A928" w14:textId="6ECE1C50" w:rsidR="00896712" w:rsidRPr="00734815" w:rsidRDefault="008110BC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96712" w:rsidRPr="00734815" w14:paraId="594167E5" w14:textId="77777777" w:rsidTr="00734815">
        <w:trPr>
          <w:trHeight w:val="99"/>
        </w:trPr>
        <w:tc>
          <w:tcPr>
            <w:tcW w:w="1242" w:type="dxa"/>
          </w:tcPr>
          <w:p w14:paraId="13EE0FB4" w14:textId="77777777" w:rsidR="00896712" w:rsidRPr="00734815" w:rsidRDefault="005C3000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2EDD1D52" w14:textId="77777777" w:rsidR="00896712" w:rsidRPr="00734815" w:rsidRDefault="00896712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734815">
              <w:rPr>
                <w:rFonts w:ascii="Cambria" w:hAnsi="Cambria"/>
                <w:sz w:val="28"/>
                <w:szCs w:val="28"/>
              </w:rPr>
              <w:t xml:space="preserve">Evidence </w:t>
            </w:r>
          </w:p>
        </w:tc>
        <w:tc>
          <w:tcPr>
            <w:tcW w:w="992" w:type="dxa"/>
          </w:tcPr>
          <w:p w14:paraId="73BA9DB7" w14:textId="7421218B" w:rsidR="00896712" w:rsidRPr="00734815" w:rsidRDefault="008110BC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96712" w:rsidRPr="00734815" w14:paraId="0A304FE1" w14:textId="77777777" w:rsidTr="00734815">
        <w:trPr>
          <w:trHeight w:val="99"/>
        </w:trPr>
        <w:tc>
          <w:tcPr>
            <w:tcW w:w="1242" w:type="dxa"/>
          </w:tcPr>
          <w:p w14:paraId="3D3BA41E" w14:textId="77777777" w:rsidR="00896712" w:rsidRPr="00734815" w:rsidRDefault="001B2660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3413EA44" w14:textId="7F4AE720" w:rsidR="00896712" w:rsidRPr="00734815" w:rsidRDefault="0031749D" w:rsidP="007610A3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Quality Assurance</w:t>
            </w:r>
          </w:p>
        </w:tc>
        <w:tc>
          <w:tcPr>
            <w:tcW w:w="992" w:type="dxa"/>
          </w:tcPr>
          <w:p w14:paraId="7B0F0499" w14:textId="168B7295" w:rsidR="00896712" w:rsidRPr="00734815" w:rsidRDefault="008110BC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96712" w:rsidRPr="00734815" w14:paraId="2EA8B16C" w14:textId="77777777" w:rsidTr="00734815">
        <w:trPr>
          <w:trHeight w:val="99"/>
        </w:trPr>
        <w:tc>
          <w:tcPr>
            <w:tcW w:w="1242" w:type="dxa"/>
          </w:tcPr>
          <w:p w14:paraId="7A752C99" w14:textId="77777777" w:rsidR="00896712" w:rsidRPr="00734815" w:rsidRDefault="001B2660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7C3CDCD2" w14:textId="77777777" w:rsidR="00896712" w:rsidRPr="00734815" w:rsidRDefault="000116F3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References</w:t>
            </w:r>
            <w:r w:rsidR="00896712" w:rsidRPr="00734815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5F04C37" w14:textId="7C9F22CE" w:rsidR="00896712" w:rsidRPr="00734815" w:rsidRDefault="008110BC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  <w:r w:rsidR="00896712" w:rsidRPr="00734815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</w:tbl>
    <w:p w14:paraId="18AB551A" w14:textId="77777777" w:rsidR="00896712" w:rsidRDefault="00896712" w:rsidP="00896712">
      <w:pPr>
        <w:pStyle w:val="Default"/>
        <w:rPr>
          <w:rFonts w:ascii="Cambria" w:hAnsi="Cambria"/>
        </w:rPr>
      </w:pPr>
    </w:p>
    <w:p w14:paraId="7FEC8A40" w14:textId="77777777" w:rsidR="00294E68" w:rsidRDefault="00294E68">
      <w:pPr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/>
        </w:rPr>
        <w:br w:type="page"/>
      </w:r>
    </w:p>
    <w:p w14:paraId="3080C837" w14:textId="77777777" w:rsidR="00294E68" w:rsidRPr="00294E68" w:rsidRDefault="00121C25" w:rsidP="00121C25">
      <w:pPr>
        <w:pStyle w:val="Default"/>
        <w:rPr>
          <w:rFonts w:asciiTheme="majorHAnsi" w:hAnsiTheme="majorHAnsi"/>
          <w:b/>
          <w:sz w:val="36"/>
          <w:szCs w:val="36"/>
        </w:rPr>
      </w:pPr>
      <w:r w:rsidRPr="00121C25">
        <w:rPr>
          <w:rFonts w:asciiTheme="majorHAnsi" w:hAnsiTheme="majorHAnsi"/>
          <w:b/>
          <w:sz w:val="36"/>
          <w:szCs w:val="36"/>
        </w:rPr>
        <w:lastRenderedPageBreak/>
        <w:t>1.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294E68" w:rsidRPr="00294E68">
        <w:rPr>
          <w:rFonts w:asciiTheme="majorHAnsi" w:hAnsiTheme="majorHAnsi"/>
          <w:b/>
          <w:sz w:val="36"/>
          <w:szCs w:val="36"/>
        </w:rPr>
        <w:t xml:space="preserve">Introduction </w:t>
      </w:r>
    </w:p>
    <w:p w14:paraId="578DAF56" w14:textId="77777777" w:rsidR="00294E68" w:rsidRPr="00294E68" w:rsidRDefault="00294E68" w:rsidP="00294E68">
      <w:pPr>
        <w:pStyle w:val="Default"/>
        <w:rPr>
          <w:rFonts w:asciiTheme="majorHAnsi" w:hAnsiTheme="majorHAnsi"/>
          <w:sz w:val="36"/>
          <w:szCs w:val="36"/>
        </w:rPr>
      </w:pPr>
    </w:p>
    <w:p w14:paraId="718C4969" w14:textId="780DE828" w:rsidR="00243BF6" w:rsidRPr="00A329E7" w:rsidRDefault="00294E68" w:rsidP="00294E68">
      <w:pPr>
        <w:pStyle w:val="Default"/>
        <w:rPr>
          <w:rFonts w:ascii="Arial" w:hAnsi="Arial" w:cs="Arial"/>
          <w:sz w:val="22"/>
          <w:szCs w:val="22"/>
        </w:rPr>
      </w:pPr>
      <w:r w:rsidRPr="00A329E7">
        <w:rPr>
          <w:rFonts w:ascii="Arial" w:hAnsi="Arial" w:cs="Arial"/>
          <w:sz w:val="22"/>
          <w:szCs w:val="22"/>
        </w:rPr>
        <w:t>This Assessment Strategy provides the criteria SQA approved centres must meet</w:t>
      </w:r>
      <w:r w:rsidR="0065325A" w:rsidRPr="00A329E7">
        <w:rPr>
          <w:rFonts w:ascii="Arial" w:hAnsi="Arial" w:cs="Arial"/>
          <w:sz w:val="22"/>
          <w:szCs w:val="22"/>
        </w:rPr>
        <w:t xml:space="preserve"> for the assessment of</w:t>
      </w:r>
      <w:r w:rsidR="001B2660" w:rsidRPr="00A329E7">
        <w:rPr>
          <w:rFonts w:ascii="Arial" w:hAnsi="Arial" w:cs="Arial"/>
          <w:sz w:val="22"/>
          <w:szCs w:val="22"/>
        </w:rPr>
        <w:t xml:space="preserve"> </w:t>
      </w:r>
      <w:r w:rsidR="00876F7A">
        <w:rPr>
          <w:rFonts w:ascii="Arial" w:hAnsi="Arial" w:cs="Arial"/>
          <w:sz w:val="22"/>
          <w:szCs w:val="22"/>
        </w:rPr>
        <w:t xml:space="preserve">the </w:t>
      </w:r>
      <w:r w:rsidR="00053EBD">
        <w:rPr>
          <w:rFonts w:ascii="Arial" w:hAnsi="Arial" w:cs="Arial"/>
          <w:sz w:val="22"/>
          <w:szCs w:val="22"/>
        </w:rPr>
        <w:t>Diploma</w:t>
      </w:r>
      <w:r w:rsidR="001B2660" w:rsidRPr="00A329E7">
        <w:rPr>
          <w:rFonts w:ascii="Arial" w:hAnsi="Arial" w:cs="Arial"/>
          <w:sz w:val="22"/>
          <w:szCs w:val="22"/>
        </w:rPr>
        <w:t xml:space="preserve"> </w:t>
      </w:r>
      <w:r w:rsidRPr="00A329E7">
        <w:rPr>
          <w:rFonts w:ascii="Arial" w:hAnsi="Arial" w:cs="Arial"/>
          <w:sz w:val="22"/>
          <w:szCs w:val="22"/>
        </w:rPr>
        <w:t xml:space="preserve">in </w:t>
      </w:r>
      <w:r w:rsidR="00480BF7" w:rsidRPr="00A329E7">
        <w:rPr>
          <w:rFonts w:ascii="Arial" w:hAnsi="Arial" w:cs="Arial"/>
          <w:sz w:val="22"/>
          <w:szCs w:val="22"/>
        </w:rPr>
        <w:t>Learning and Development</w:t>
      </w:r>
      <w:r w:rsidR="00876F7A">
        <w:rPr>
          <w:rFonts w:ascii="Arial" w:hAnsi="Arial" w:cs="Arial"/>
          <w:sz w:val="22"/>
          <w:szCs w:val="22"/>
        </w:rPr>
        <w:t xml:space="preserve"> </w:t>
      </w:r>
      <w:r w:rsidR="00273C87">
        <w:rPr>
          <w:rFonts w:ascii="Arial" w:hAnsi="Arial" w:cs="Arial"/>
          <w:sz w:val="22"/>
          <w:szCs w:val="22"/>
        </w:rPr>
        <w:t xml:space="preserve">at SCQF level 8 </w:t>
      </w:r>
      <w:r w:rsidR="00876F7A">
        <w:rPr>
          <w:rFonts w:ascii="Arial" w:hAnsi="Arial" w:cs="Arial"/>
          <w:sz w:val="22"/>
          <w:szCs w:val="22"/>
        </w:rPr>
        <w:t>(GR0Y 48)</w:t>
      </w:r>
      <w:r w:rsidR="00273C87">
        <w:rPr>
          <w:rFonts w:ascii="Arial" w:hAnsi="Arial" w:cs="Arial"/>
          <w:sz w:val="22"/>
          <w:szCs w:val="22"/>
        </w:rPr>
        <w:t xml:space="preserve"> and at SCQF level 9 (</w:t>
      </w:r>
      <w:r w:rsidR="00053EBD">
        <w:rPr>
          <w:rFonts w:ascii="Arial" w:hAnsi="Arial" w:cs="Arial"/>
          <w:sz w:val="22"/>
          <w:szCs w:val="22"/>
        </w:rPr>
        <w:t>GR2J</w:t>
      </w:r>
      <w:r w:rsidR="00273C87">
        <w:rPr>
          <w:rFonts w:ascii="Arial" w:hAnsi="Arial" w:cs="Arial"/>
          <w:sz w:val="22"/>
          <w:szCs w:val="22"/>
        </w:rPr>
        <w:t xml:space="preserve"> 49.)</w:t>
      </w:r>
      <w:r w:rsidRPr="00A329E7">
        <w:rPr>
          <w:rFonts w:ascii="Arial" w:hAnsi="Arial" w:cs="Arial"/>
          <w:sz w:val="22"/>
          <w:szCs w:val="22"/>
        </w:rPr>
        <w:t xml:space="preserve"> </w:t>
      </w:r>
    </w:p>
    <w:p w14:paraId="2DE932D0" w14:textId="77777777" w:rsidR="00243BF6" w:rsidRPr="00A329E7" w:rsidRDefault="00243BF6" w:rsidP="00294E68">
      <w:pPr>
        <w:pStyle w:val="Default"/>
        <w:rPr>
          <w:rFonts w:ascii="Arial" w:hAnsi="Arial" w:cs="Arial"/>
          <w:sz w:val="22"/>
          <w:szCs w:val="22"/>
        </w:rPr>
      </w:pPr>
    </w:p>
    <w:p w14:paraId="664F1E2A" w14:textId="77777777" w:rsidR="00294E68" w:rsidRPr="00A329E7" w:rsidRDefault="00294E68" w:rsidP="00294E68">
      <w:pPr>
        <w:pStyle w:val="Default"/>
        <w:rPr>
          <w:rFonts w:ascii="Arial" w:hAnsi="Arial" w:cs="Arial"/>
          <w:sz w:val="22"/>
          <w:szCs w:val="22"/>
        </w:rPr>
      </w:pPr>
      <w:r w:rsidRPr="00A329E7">
        <w:rPr>
          <w:rFonts w:ascii="Arial" w:hAnsi="Arial" w:cs="Arial"/>
          <w:sz w:val="22"/>
          <w:szCs w:val="22"/>
        </w:rPr>
        <w:t xml:space="preserve">This document outlines the criteria in relation to: </w:t>
      </w:r>
    </w:p>
    <w:p w14:paraId="044531D7" w14:textId="77777777" w:rsidR="00294E68" w:rsidRPr="00A329E7" w:rsidRDefault="00294E68" w:rsidP="00294E68">
      <w:pPr>
        <w:pStyle w:val="Default"/>
        <w:rPr>
          <w:rFonts w:ascii="Arial" w:hAnsi="Arial" w:cs="Arial"/>
          <w:sz w:val="22"/>
          <w:szCs w:val="22"/>
        </w:rPr>
      </w:pPr>
    </w:p>
    <w:p w14:paraId="6D95ACE4" w14:textId="77777777" w:rsidR="00294E68" w:rsidRPr="00A329E7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29E7">
        <w:rPr>
          <w:rFonts w:ascii="Arial" w:hAnsi="Arial" w:cs="Arial"/>
          <w:sz w:val="22"/>
          <w:szCs w:val="22"/>
        </w:rPr>
        <w:t>requirements of assessor</w:t>
      </w:r>
      <w:r w:rsidR="002F5A31" w:rsidRPr="00A329E7">
        <w:rPr>
          <w:rFonts w:ascii="Arial" w:hAnsi="Arial" w:cs="Arial"/>
          <w:sz w:val="22"/>
          <w:szCs w:val="22"/>
        </w:rPr>
        <w:t>s</w:t>
      </w:r>
      <w:r w:rsidRPr="00A329E7">
        <w:rPr>
          <w:rFonts w:ascii="Arial" w:hAnsi="Arial" w:cs="Arial"/>
          <w:sz w:val="22"/>
          <w:szCs w:val="22"/>
        </w:rPr>
        <w:t xml:space="preserve"> and </w:t>
      </w:r>
      <w:r w:rsidR="0005009D" w:rsidRPr="00A329E7">
        <w:rPr>
          <w:rFonts w:ascii="Arial" w:hAnsi="Arial" w:cs="Arial"/>
          <w:sz w:val="22"/>
          <w:szCs w:val="22"/>
        </w:rPr>
        <w:t xml:space="preserve">internal </w:t>
      </w:r>
      <w:r w:rsidRPr="00A329E7">
        <w:rPr>
          <w:rFonts w:ascii="Arial" w:hAnsi="Arial" w:cs="Arial"/>
          <w:sz w:val="22"/>
          <w:szCs w:val="22"/>
        </w:rPr>
        <w:t xml:space="preserve">verifiers </w:t>
      </w:r>
    </w:p>
    <w:p w14:paraId="221691FA" w14:textId="77777777" w:rsidR="00294E68" w:rsidRPr="00A329E7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29E7">
        <w:rPr>
          <w:rFonts w:ascii="Arial" w:hAnsi="Arial" w:cs="Arial"/>
          <w:sz w:val="22"/>
          <w:szCs w:val="22"/>
        </w:rPr>
        <w:t xml:space="preserve">evidence </w:t>
      </w:r>
    </w:p>
    <w:p w14:paraId="56EAF411" w14:textId="77777777" w:rsidR="00294E68" w:rsidRPr="00A329E7" w:rsidRDefault="00294E68" w:rsidP="00294E68">
      <w:pPr>
        <w:pStyle w:val="Default"/>
        <w:rPr>
          <w:rFonts w:ascii="Arial" w:hAnsi="Arial" w:cs="Arial"/>
          <w:sz w:val="22"/>
          <w:szCs w:val="22"/>
        </w:rPr>
      </w:pPr>
    </w:p>
    <w:p w14:paraId="0EA21EA0" w14:textId="4137B3C7" w:rsidR="00294E68" w:rsidRPr="00A329E7" w:rsidRDefault="00BA749A" w:rsidP="00294E68">
      <w:pPr>
        <w:pStyle w:val="Default"/>
        <w:rPr>
          <w:rFonts w:ascii="Arial" w:hAnsi="Arial" w:cs="Arial"/>
          <w:sz w:val="22"/>
          <w:szCs w:val="22"/>
        </w:rPr>
      </w:pPr>
      <w:r w:rsidRPr="00A329E7">
        <w:rPr>
          <w:rFonts w:ascii="Arial" w:hAnsi="Arial" w:cs="Arial"/>
          <w:sz w:val="22"/>
          <w:szCs w:val="22"/>
        </w:rPr>
        <w:t>I</w:t>
      </w:r>
      <w:r w:rsidR="00294E68" w:rsidRPr="00A329E7">
        <w:rPr>
          <w:rFonts w:ascii="Arial" w:hAnsi="Arial" w:cs="Arial"/>
          <w:sz w:val="22"/>
          <w:szCs w:val="22"/>
        </w:rPr>
        <w:t>n addition to th</w:t>
      </w:r>
      <w:r w:rsidRPr="00A329E7">
        <w:rPr>
          <w:rFonts w:ascii="Arial" w:hAnsi="Arial" w:cs="Arial"/>
          <w:sz w:val="22"/>
          <w:szCs w:val="22"/>
        </w:rPr>
        <w:t>e criteria</w:t>
      </w:r>
      <w:r w:rsidR="00294E68" w:rsidRPr="00A329E7">
        <w:rPr>
          <w:rFonts w:ascii="Arial" w:hAnsi="Arial" w:cs="Arial"/>
          <w:sz w:val="22"/>
          <w:szCs w:val="22"/>
        </w:rPr>
        <w:t xml:space="preserve"> </w:t>
      </w:r>
      <w:r w:rsidRPr="00A329E7">
        <w:rPr>
          <w:rFonts w:ascii="Arial" w:hAnsi="Arial" w:cs="Arial"/>
          <w:sz w:val="22"/>
          <w:szCs w:val="22"/>
        </w:rPr>
        <w:t xml:space="preserve">outlined in this document, </w:t>
      </w:r>
      <w:r w:rsidR="00294E68" w:rsidRPr="00A329E7">
        <w:rPr>
          <w:rFonts w:ascii="Arial" w:hAnsi="Arial" w:cs="Arial"/>
          <w:sz w:val="22"/>
          <w:szCs w:val="22"/>
        </w:rPr>
        <w:t xml:space="preserve">centres must </w:t>
      </w:r>
      <w:r w:rsidRPr="00A329E7">
        <w:rPr>
          <w:rFonts w:ascii="Arial" w:hAnsi="Arial" w:cs="Arial"/>
          <w:sz w:val="22"/>
          <w:szCs w:val="22"/>
        </w:rPr>
        <w:t>meet the requirements of</w:t>
      </w:r>
      <w:r w:rsidR="00294E68" w:rsidRPr="00A329E7">
        <w:rPr>
          <w:rFonts w:ascii="Arial" w:hAnsi="Arial" w:cs="Arial"/>
          <w:sz w:val="22"/>
          <w:szCs w:val="22"/>
        </w:rPr>
        <w:t xml:space="preserve"> </w:t>
      </w:r>
      <w:r w:rsidRPr="00A329E7">
        <w:rPr>
          <w:rFonts w:ascii="Arial" w:hAnsi="Arial" w:cs="Arial"/>
          <w:sz w:val="22"/>
          <w:szCs w:val="22"/>
        </w:rPr>
        <w:t>SQA’s Quality Assurance Criteria</w:t>
      </w:r>
      <w:r w:rsidR="000116F3" w:rsidRPr="00A329E7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294E68" w:rsidRPr="00A329E7">
        <w:rPr>
          <w:rFonts w:ascii="Arial" w:hAnsi="Arial" w:cs="Arial"/>
          <w:sz w:val="22"/>
          <w:szCs w:val="22"/>
        </w:rPr>
        <w:t xml:space="preserve">. </w:t>
      </w:r>
    </w:p>
    <w:p w14:paraId="10F8B5D5" w14:textId="30646C5E" w:rsidR="00AB3008" w:rsidRPr="00A329E7" w:rsidRDefault="00AB3008" w:rsidP="00294E68">
      <w:pPr>
        <w:pStyle w:val="Default"/>
        <w:rPr>
          <w:rFonts w:ascii="Arial" w:hAnsi="Arial" w:cs="Arial"/>
          <w:sz w:val="22"/>
          <w:szCs w:val="22"/>
        </w:rPr>
      </w:pPr>
    </w:p>
    <w:p w14:paraId="2ABC9291" w14:textId="77777777" w:rsidR="00AB3008" w:rsidRDefault="00AB3008" w:rsidP="00C974B2">
      <w:pPr>
        <w:pStyle w:val="Heading4"/>
        <w:ind w:left="-142"/>
      </w:pPr>
      <w:r>
        <w:t>Scope of this Assessment Strategy</w:t>
      </w:r>
    </w:p>
    <w:p w14:paraId="1F4F84BE" w14:textId="48904695" w:rsidR="00AB3008" w:rsidRDefault="00AB3008" w:rsidP="00C974B2">
      <w:pPr>
        <w:pStyle w:val="BodyText"/>
        <w:ind w:left="-142" w:right="121"/>
      </w:pPr>
      <w:r>
        <w:t xml:space="preserve">This assessment strategy applies to the </w:t>
      </w:r>
      <w:r w:rsidR="00053EBD">
        <w:t>Diploma</w:t>
      </w:r>
      <w:r>
        <w:t xml:space="preserve"> in Learning and Development</w:t>
      </w:r>
      <w:r w:rsidR="00273C87">
        <w:t xml:space="preserve"> at SCQF level 8 and 9</w:t>
      </w:r>
      <w:r>
        <w:t xml:space="preserve">. </w:t>
      </w:r>
    </w:p>
    <w:p w14:paraId="48A42C1D" w14:textId="77777777" w:rsidR="00AB3008" w:rsidRDefault="00AB3008" w:rsidP="00AB3008">
      <w:pPr>
        <w:pStyle w:val="BodyText"/>
        <w:spacing w:before="8"/>
        <w:rPr>
          <w:sz w:val="21"/>
        </w:rPr>
      </w:pPr>
    </w:p>
    <w:p w14:paraId="5D3D2C20" w14:textId="183E7FEA" w:rsidR="00AB3008" w:rsidRDefault="00AB3008" w:rsidP="00AB3008">
      <w:pPr>
        <w:pStyle w:val="Heading4"/>
        <w:spacing w:before="1"/>
      </w:pPr>
      <w:r>
        <w:t xml:space="preserve">The </w:t>
      </w:r>
      <w:r w:rsidR="00C974B2">
        <w:t>National Workplace</w:t>
      </w:r>
      <w:r>
        <w:t xml:space="preserve"> Units for Learning and Development</w:t>
      </w:r>
    </w:p>
    <w:p w14:paraId="0ED2AE6E" w14:textId="61F0AC4D" w:rsidR="00AB3008" w:rsidRDefault="00AB3008" w:rsidP="00AB3008">
      <w:pPr>
        <w:pStyle w:val="BodyText"/>
        <w:spacing w:before="2"/>
        <w:ind w:left="118" w:right="181"/>
      </w:pPr>
      <w:proofErr w:type="gramStart"/>
      <w:r>
        <w:t>All of</w:t>
      </w:r>
      <w:proofErr w:type="gramEnd"/>
      <w:r>
        <w:t xml:space="preserve"> the </w:t>
      </w:r>
      <w:r w:rsidR="00C974B2">
        <w:t>u</w:t>
      </w:r>
      <w:r>
        <w:t xml:space="preserve">nits that make up the </w:t>
      </w:r>
      <w:r w:rsidR="00053EBD">
        <w:t>Diploma</w:t>
      </w:r>
      <w:r w:rsidR="00C974B2">
        <w:t xml:space="preserve"> in</w:t>
      </w:r>
      <w:r>
        <w:t xml:space="preserve"> Learning and Development </w:t>
      </w:r>
      <w:r w:rsidR="00273C87">
        <w:t xml:space="preserve">at SCQF level 8 and 9 </w:t>
      </w:r>
      <w:r>
        <w:t>are based on the Learning and Development National Occupational Standards that were approved in February 2010 and the National Occupational Standards for Management and Leadership approved in 2008.</w:t>
      </w:r>
    </w:p>
    <w:p w14:paraId="437A6D87" w14:textId="77777777" w:rsidR="00AB3008" w:rsidRDefault="00AB3008" w:rsidP="00AB3008">
      <w:pPr>
        <w:pStyle w:val="BodyText"/>
      </w:pPr>
    </w:p>
    <w:p w14:paraId="4AC8BD64" w14:textId="3828899A" w:rsidR="00AB3008" w:rsidRDefault="00AB3008" w:rsidP="00AB3008">
      <w:pPr>
        <w:pStyle w:val="BodyText"/>
        <w:ind w:left="118" w:right="389"/>
      </w:pPr>
      <w:r>
        <w:rPr>
          <w:noProof/>
          <w:lang w:val="en-GB" w:eastAsia="en-GB"/>
        </w:rPr>
        <w:drawing>
          <wp:anchor distT="0" distB="0" distL="0" distR="0" simplePos="0" relativeHeight="251666432" behindDoc="0" locked="0" layoutInCell="1" allowOverlap="1" wp14:anchorId="409AFCF6" wp14:editId="14E7308D">
            <wp:simplePos x="0" y="0"/>
            <wp:positionH relativeFrom="page">
              <wp:posOffset>1370330</wp:posOffset>
            </wp:positionH>
            <wp:positionV relativeFrom="paragraph">
              <wp:posOffset>483081</wp:posOffset>
            </wp:positionV>
            <wp:extent cx="128015" cy="3413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For the purposes of assessing workplace competence, Learning and Development Standard 9: Assess Learner Achievement has been </w:t>
      </w:r>
      <w:proofErr w:type="spellStart"/>
      <w:r>
        <w:t>contextualised</w:t>
      </w:r>
      <w:proofErr w:type="spellEnd"/>
      <w:r>
        <w:t xml:space="preserve"> to create two separate </w:t>
      </w:r>
      <w:r w:rsidR="00AF5FFD">
        <w:t>National Workplace</w:t>
      </w:r>
      <w:r>
        <w:t xml:space="preserve"> Units:</w:t>
      </w:r>
    </w:p>
    <w:p w14:paraId="12168E02" w14:textId="659F945C" w:rsidR="00AB3008" w:rsidRDefault="00AB3008" w:rsidP="00AB3008">
      <w:pPr>
        <w:pStyle w:val="BodyText"/>
        <w:spacing w:before="15"/>
        <w:ind w:left="838"/>
      </w:pPr>
      <w:r>
        <w:t xml:space="preserve">Unit </w:t>
      </w:r>
      <w:r w:rsidR="002255EE">
        <w:t>J3NY 47</w:t>
      </w:r>
      <w:r>
        <w:t xml:space="preserve"> Assess workplace competence using direct methods</w:t>
      </w:r>
    </w:p>
    <w:p w14:paraId="06528CB1" w14:textId="360B6E61" w:rsidR="00AB3008" w:rsidRDefault="00AB3008" w:rsidP="00AB3008">
      <w:pPr>
        <w:pStyle w:val="BodyText"/>
        <w:spacing w:before="13"/>
        <w:ind w:left="838"/>
      </w:pPr>
      <w:r>
        <w:t xml:space="preserve">Unit </w:t>
      </w:r>
      <w:r w:rsidR="002255EE">
        <w:t>J3P0 48</w:t>
      </w:r>
      <w:r>
        <w:t xml:space="preserve"> Assess workplace competence using direct and indirect methods</w:t>
      </w:r>
    </w:p>
    <w:p w14:paraId="27EC0AFD" w14:textId="77777777" w:rsidR="00AB3008" w:rsidRDefault="00AB3008" w:rsidP="00AB3008">
      <w:pPr>
        <w:pStyle w:val="BodyText"/>
        <w:spacing w:before="9"/>
        <w:rPr>
          <w:sz w:val="21"/>
        </w:rPr>
      </w:pPr>
    </w:p>
    <w:p w14:paraId="256E5797" w14:textId="6F965AB9" w:rsidR="00AB3008" w:rsidRDefault="00AB3008" w:rsidP="00AB3008">
      <w:pPr>
        <w:pStyle w:val="Heading4"/>
      </w:pPr>
      <w:r>
        <w:t xml:space="preserve">Unit </w:t>
      </w:r>
      <w:r w:rsidR="002255EE">
        <w:t>J3NY 47</w:t>
      </w:r>
      <w:r>
        <w:t xml:space="preserve"> Assess workplace competence using direct methods</w:t>
      </w:r>
    </w:p>
    <w:p w14:paraId="152300DE" w14:textId="77777777" w:rsidR="00AB3008" w:rsidRDefault="00AB3008" w:rsidP="00AB3008">
      <w:pPr>
        <w:pStyle w:val="BodyText"/>
        <w:spacing w:line="254" w:lineRule="auto"/>
        <w:ind w:left="838" w:right="2677" w:hanging="720"/>
      </w:pPr>
      <w:r>
        <w:rPr>
          <w:noProof/>
          <w:lang w:val="en-GB" w:eastAsia="en-GB"/>
        </w:rPr>
        <w:drawing>
          <wp:anchor distT="0" distB="0" distL="0" distR="0" simplePos="0" relativeHeight="251667456" behindDoc="1" locked="0" layoutInCell="1" allowOverlap="1" wp14:anchorId="043E5A22" wp14:editId="671473B6">
            <wp:simplePos x="0" y="0"/>
            <wp:positionH relativeFrom="page">
              <wp:posOffset>1370330</wp:posOffset>
            </wp:positionH>
            <wp:positionV relativeFrom="paragraph">
              <wp:posOffset>161517</wp:posOffset>
            </wp:positionV>
            <wp:extent cx="128015" cy="5123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512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Unit must cover direct assessment methods </w:t>
      </w:r>
      <w:proofErr w:type="gramStart"/>
      <w:r>
        <w:t>including:</w:t>
      </w:r>
      <w:proofErr w:type="gramEnd"/>
      <w:r>
        <w:t xml:space="preserve"> observation</w:t>
      </w:r>
    </w:p>
    <w:p w14:paraId="7AE50349" w14:textId="77777777" w:rsidR="00AB3008" w:rsidRDefault="00AB3008" w:rsidP="00AB3008">
      <w:pPr>
        <w:pStyle w:val="BodyText"/>
        <w:spacing w:line="252" w:lineRule="exact"/>
        <w:ind w:left="838"/>
      </w:pPr>
      <w:r>
        <w:t>related questioning</w:t>
      </w:r>
    </w:p>
    <w:p w14:paraId="3EBC0207" w14:textId="77777777" w:rsidR="00AB3008" w:rsidRDefault="00AB3008" w:rsidP="00AB3008">
      <w:pPr>
        <w:pStyle w:val="BodyText"/>
        <w:spacing w:before="16"/>
        <w:ind w:left="838"/>
      </w:pPr>
      <w:r>
        <w:t>inspecting work products (created at the time of the observation)</w:t>
      </w:r>
    </w:p>
    <w:p w14:paraId="4DA69FC8" w14:textId="77777777" w:rsidR="00AB3008" w:rsidRDefault="00AB3008" w:rsidP="00AB3008">
      <w:pPr>
        <w:pStyle w:val="BodyText"/>
        <w:spacing w:before="9"/>
        <w:rPr>
          <w:sz w:val="21"/>
        </w:rPr>
      </w:pPr>
    </w:p>
    <w:p w14:paraId="0C4CA250" w14:textId="76236317" w:rsidR="00AB3008" w:rsidRDefault="00AB3008" w:rsidP="00AB3008">
      <w:pPr>
        <w:pStyle w:val="Heading4"/>
      </w:pPr>
      <w:r>
        <w:t xml:space="preserve">Unit </w:t>
      </w:r>
      <w:r w:rsidR="002255EE">
        <w:t>J3P0 48</w:t>
      </w:r>
      <w:r>
        <w:t xml:space="preserve"> Assess workplace competence using direct and indirect methods</w:t>
      </w:r>
    </w:p>
    <w:p w14:paraId="72FB84B1" w14:textId="77777777" w:rsidR="00AB3008" w:rsidRDefault="00AB3008" w:rsidP="00AB3008">
      <w:pPr>
        <w:pStyle w:val="BodyText"/>
        <w:spacing w:before="1" w:line="254" w:lineRule="auto"/>
        <w:ind w:left="838" w:right="2677" w:hanging="720"/>
      </w:pPr>
      <w:r>
        <w:rPr>
          <w:noProof/>
          <w:lang w:val="en-GB" w:eastAsia="en-GB"/>
        </w:rPr>
        <w:drawing>
          <wp:anchor distT="0" distB="0" distL="0" distR="0" simplePos="0" relativeHeight="251668480" behindDoc="1" locked="0" layoutInCell="1" allowOverlap="1" wp14:anchorId="16A7F126" wp14:editId="43DB0516">
            <wp:simplePos x="0" y="0"/>
            <wp:positionH relativeFrom="page">
              <wp:posOffset>1370330</wp:posOffset>
            </wp:positionH>
            <wp:positionV relativeFrom="paragraph">
              <wp:posOffset>162151</wp:posOffset>
            </wp:positionV>
            <wp:extent cx="128015" cy="5120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Unit must cover direct assessment methods </w:t>
      </w:r>
      <w:proofErr w:type="gramStart"/>
      <w:r>
        <w:t>including:</w:t>
      </w:r>
      <w:proofErr w:type="gramEnd"/>
      <w:r>
        <w:t xml:space="preserve"> observation</w:t>
      </w:r>
    </w:p>
    <w:p w14:paraId="361E6BE5" w14:textId="77777777" w:rsidR="00AB3008" w:rsidRDefault="00AB3008" w:rsidP="00AB3008">
      <w:pPr>
        <w:pStyle w:val="BodyText"/>
        <w:spacing w:line="252" w:lineRule="exact"/>
        <w:ind w:left="838"/>
      </w:pPr>
      <w:r>
        <w:t>related questioning</w:t>
      </w:r>
    </w:p>
    <w:p w14:paraId="481DF1C1" w14:textId="77777777" w:rsidR="00AB3008" w:rsidRDefault="00AB3008" w:rsidP="00AB3008">
      <w:pPr>
        <w:pStyle w:val="BodyText"/>
        <w:spacing w:before="16"/>
        <w:ind w:left="838"/>
      </w:pPr>
      <w:r>
        <w:t>inspecting work products (created at the time of the observation)</w:t>
      </w:r>
    </w:p>
    <w:p w14:paraId="3FD0507B" w14:textId="77777777" w:rsidR="00AB3008" w:rsidRDefault="00AB3008" w:rsidP="00AB3008">
      <w:pPr>
        <w:pStyle w:val="BodyText"/>
      </w:pPr>
    </w:p>
    <w:p w14:paraId="35AC5095" w14:textId="77777777" w:rsidR="00AB3008" w:rsidRDefault="00AB3008" w:rsidP="00AB3008">
      <w:pPr>
        <w:pStyle w:val="BodyText"/>
        <w:spacing w:line="252" w:lineRule="exact"/>
        <w:ind w:left="118"/>
      </w:pPr>
      <w:r>
        <w:t>and must also cover indirect assessment methods including:</w:t>
      </w:r>
    </w:p>
    <w:p w14:paraId="2E9C2C10" w14:textId="77777777" w:rsidR="00AB3008" w:rsidRDefault="00AB3008" w:rsidP="00AB3008">
      <w:pPr>
        <w:pStyle w:val="BodyText"/>
        <w:spacing w:before="17" w:line="254" w:lineRule="exact"/>
        <w:ind w:left="838" w:right="636" w:hanging="360"/>
      </w:pPr>
      <w:r>
        <w:rPr>
          <w:noProof/>
          <w:lang w:val="en-GB" w:eastAsia="en-GB"/>
        </w:rPr>
        <w:drawing>
          <wp:anchor distT="0" distB="0" distL="0" distR="0" simplePos="0" relativeHeight="251669504" behindDoc="1" locked="0" layoutInCell="1" allowOverlap="1" wp14:anchorId="445F055E" wp14:editId="0C5DC1F7">
            <wp:simplePos x="0" y="0"/>
            <wp:positionH relativeFrom="page">
              <wp:posOffset>1370330</wp:posOffset>
            </wp:positionH>
            <wp:positionV relativeFrom="paragraph">
              <wp:posOffset>330327</wp:posOffset>
            </wp:positionV>
            <wp:extent cx="128015" cy="85382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8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val="en-GB" w:eastAsia="en-GB"/>
        </w:rPr>
        <w:drawing>
          <wp:inline distT="0" distB="0" distL="0" distR="0" wp14:anchorId="03E6D9E8" wp14:editId="4A423D19">
            <wp:extent cx="128015" cy="172212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examination of work products (created at the time of observation and not created at the time of</w:t>
      </w:r>
      <w:r>
        <w:rPr>
          <w:spacing w:val="-8"/>
        </w:rPr>
        <w:t xml:space="preserve"> </w:t>
      </w:r>
      <w:r>
        <w:t>observation)</w:t>
      </w:r>
    </w:p>
    <w:p w14:paraId="385323AD" w14:textId="77777777" w:rsidR="00AB3008" w:rsidRDefault="00AB3008" w:rsidP="00AB3008">
      <w:pPr>
        <w:pStyle w:val="BodyText"/>
        <w:spacing w:before="9" w:line="254" w:lineRule="auto"/>
        <w:ind w:left="838" w:right="4536"/>
      </w:pPr>
      <w:r>
        <w:t xml:space="preserve">discussing with </w:t>
      </w:r>
      <w:proofErr w:type="gramStart"/>
      <w:r>
        <w:t>candidates</w:t>
      </w:r>
      <w:proofErr w:type="gramEnd"/>
      <w:r>
        <w:t xml:space="preserve"> testimony of others (witnesses) examining candidate statements</w:t>
      </w:r>
    </w:p>
    <w:p w14:paraId="688C70B9" w14:textId="77777777" w:rsidR="00AB3008" w:rsidRDefault="00AB3008" w:rsidP="00AB3008">
      <w:pPr>
        <w:pStyle w:val="BodyText"/>
        <w:spacing w:line="254" w:lineRule="auto"/>
        <w:ind w:left="838" w:right="1761"/>
      </w:pPr>
      <w:r>
        <w:t>assessing candidates in simulated environments Accreditation of Prior Learning or Achievement (APL or APA)</w:t>
      </w:r>
    </w:p>
    <w:p w14:paraId="6ECD50FB" w14:textId="77777777" w:rsidR="00AB3008" w:rsidRDefault="00AB3008" w:rsidP="00AB3008">
      <w:pPr>
        <w:pStyle w:val="BodyText"/>
        <w:spacing w:before="7"/>
        <w:rPr>
          <w:sz w:val="20"/>
        </w:rPr>
      </w:pPr>
    </w:p>
    <w:p w14:paraId="55A89CFA" w14:textId="01646D26" w:rsidR="00AB3008" w:rsidRDefault="00AB3008" w:rsidP="00AB3008">
      <w:pPr>
        <w:pStyle w:val="BodyText"/>
        <w:spacing w:before="1"/>
        <w:ind w:left="118" w:right="194"/>
      </w:pPr>
      <w:r>
        <w:t>For each Unit, an appropriate range of methods will allow a trainee assessor to meet the requirements of the standards.</w:t>
      </w:r>
    </w:p>
    <w:p w14:paraId="3D58A7D6" w14:textId="101AC379" w:rsidR="00C974B2" w:rsidRDefault="00C974B2" w:rsidP="00C974B2">
      <w:pPr>
        <w:pStyle w:val="BodyText"/>
        <w:spacing w:before="77"/>
        <w:ind w:left="118" w:right="347"/>
        <w:jc w:val="both"/>
      </w:pPr>
      <w:r>
        <w:t xml:space="preserve">For the purposes of evaluating and improving Learning and Development, Learning </w:t>
      </w:r>
      <w:r>
        <w:lastRenderedPageBreak/>
        <w:t xml:space="preserve">and Development Standard 13 has been </w:t>
      </w:r>
      <w:proofErr w:type="spellStart"/>
      <w:r>
        <w:t>contextualised</w:t>
      </w:r>
      <w:proofErr w:type="spellEnd"/>
      <w:r>
        <w:t xml:space="preserve"> to create a new Unit for the </w:t>
      </w:r>
      <w:r w:rsidR="00957F08">
        <w:t>Diploma</w:t>
      </w:r>
      <w:r>
        <w:t>:</w:t>
      </w:r>
    </w:p>
    <w:p w14:paraId="0D2B8AEE" w14:textId="469D5B2C" w:rsidR="00C974B2" w:rsidRDefault="00C974B2" w:rsidP="00C974B2">
      <w:pPr>
        <w:pStyle w:val="BodyText"/>
        <w:spacing w:line="270" w:lineRule="exact"/>
        <w:ind w:left="478"/>
      </w:pPr>
      <w:r>
        <w:rPr>
          <w:noProof/>
          <w:position w:val="-4"/>
          <w:lang w:val="en-GB" w:eastAsia="en-GB"/>
        </w:rPr>
        <w:drawing>
          <wp:inline distT="0" distB="0" distL="0" distR="0" wp14:anchorId="6300041D" wp14:editId="12AABDAE">
            <wp:extent cx="128015" cy="17221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 xml:space="preserve">Unit </w:t>
      </w:r>
      <w:r w:rsidR="002255EE">
        <w:t>J3NW 38</w:t>
      </w:r>
      <w:r>
        <w:t xml:space="preserve"> Evaluate and improve learning and development</w:t>
      </w:r>
      <w:r>
        <w:rPr>
          <w:spacing w:val="-10"/>
        </w:rPr>
        <w:t xml:space="preserve"> </w:t>
      </w:r>
      <w:r>
        <w:t>sessions</w:t>
      </w:r>
    </w:p>
    <w:p w14:paraId="0F15264E" w14:textId="396B4751" w:rsidR="00B108ED" w:rsidRDefault="00B108ED" w:rsidP="00C974B2">
      <w:pPr>
        <w:pStyle w:val="BodyText"/>
        <w:spacing w:line="270" w:lineRule="exact"/>
        <w:ind w:left="478"/>
      </w:pPr>
    </w:p>
    <w:p w14:paraId="639BC51E" w14:textId="69E5EFCE" w:rsidR="00B108ED" w:rsidRDefault="00B108ED" w:rsidP="00C974B2">
      <w:pPr>
        <w:pStyle w:val="BodyText"/>
        <w:spacing w:line="270" w:lineRule="exact"/>
        <w:ind w:left="478"/>
      </w:pPr>
    </w:p>
    <w:p w14:paraId="352D9EDC" w14:textId="32341C6A" w:rsidR="00B108ED" w:rsidRDefault="00B108ED" w:rsidP="00C974B2">
      <w:pPr>
        <w:pStyle w:val="BodyText"/>
        <w:spacing w:line="270" w:lineRule="exact"/>
        <w:ind w:left="478"/>
      </w:pPr>
    </w:p>
    <w:p w14:paraId="1432D4B8" w14:textId="7D1751E2" w:rsidR="00B108ED" w:rsidRDefault="00B108ED" w:rsidP="00C974B2">
      <w:pPr>
        <w:pStyle w:val="BodyText"/>
        <w:spacing w:line="270" w:lineRule="exact"/>
        <w:ind w:left="478"/>
      </w:pPr>
    </w:p>
    <w:p w14:paraId="02AD5067" w14:textId="77777777" w:rsidR="00B108ED" w:rsidRDefault="00B108ED" w:rsidP="00C974B2">
      <w:pPr>
        <w:pStyle w:val="BodyText"/>
        <w:spacing w:line="270" w:lineRule="exact"/>
        <w:ind w:left="478"/>
      </w:pPr>
    </w:p>
    <w:p w14:paraId="5A7D79F1" w14:textId="77777777" w:rsidR="00C974B2" w:rsidRDefault="00C974B2" w:rsidP="00C974B2">
      <w:pPr>
        <w:pStyle w:val="BodyText"/>
        <w:spacing w:before="8"/>
        <w:rPr>
          <w:sz w:val="21"/>
        </w:rPr>
      </w:pPr>
    </w:p>
    <w:p w14:paraId="04BC0D58" w14:textId="77777777" w:rsidR="00C974B2" w:rsidRDefault="00C974B2" w:rsidP="00AB3008">
      <w:pPr>
        <w:pStyle w:val="BodyText"/>
        <w:spacing w:before="1"/>
        <w:ind w:left="118" w:right="194"/>
      </w:pPr>
    </w:p>
    <w:p w14:paraId="179E30A3" w14:textId="77777777" w:rsidR="00AB3008" w:rsidRDefault="00AB3008" w:rsidP="00294E68">
      <w:pPr>
        <w:pStyle w:val="Default"/>
        <w:rPr>
          <w:rFonts w:asciiTheme="majorHAnsi" w:hAnsiTheme="majorHAnsi"/>
        </w:rPr>
      </w:pPr>
    </w:p>
    <w:p w14:paraId="7C7D898F" w14:textId="77777777" w:rsidR="00BA749A" w:rsidRPr="00294E68" w:rsidRDefault="00BA749A" w:rsidP="00294E68">
      <w:pPr>
        <w:pStyle w:val="Default"/>
        <w:rPr>
          <w:rFonts w:asciiTheme="majorHAnsi" w:hAnsiTheme="majorHAnsi"/>
        </w:rPr>
      </w:pPr>
    </w:p>
    <w:p w14:paraId="77131DF2" w14:textId="1B19717A" w:rsidR="00C31EC1" w:rsidRPr="00C31EC1" w:rsidRDefault="00B21BA4" w:rsidP="00C31EC1">
      <w:pPr>
        <w:pStyle w:val="Default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2</w:t>
      </w:r>
      <w:r w:rsidR="001B36A2">
        <w:rPr>
          <w:rFonts w:ascii="Cambria" w:hAnsi="Cambria"/>
          <w:b/>
          <w:sz w:val="36"/>
          <w:szCs w:val="36"/>
        </w:rPr>
        <w:t>.</w:t>
      </w:r>
      <w:r w:rsidR="00EB7244">
        <w:rPr>
          <w:rFonts w:ascii="Cambria" w:hAnsi="Cambria"/>
          <w:b/>
          <w:sz w:val="36"/>
          <w:szCs w:val="36"/>
        </w:rPr>
        <w:t xml:space="preserve"> </w:t>
      </w:r>
      <w:r w:rsidR="00C31EC1" w:rsidRPr="00C31EC1">
        <w:rPr>
          <w:rFonts w:ascii="Cambria" w:hAnsi="Cambria"/>
          <w:b/>
          <w:sz w:val="36"/>
          <w:szCs w:val="36"/>
        </w:rPr>
        <w:t>Requirements of Assessors</w:t>
      </w:r>
      <w:r w:rsidR="008110BC">
        <w:rPr>
          <w:rFonts w:ascii="Cambria" w:hAnsi="Cambria"/>
          <w:b/>
          <w:sz w:val="36"/>
          <w:szCs w:val="36"/>
        </w:rPr>
        <w:t>,</w:t>
      </w:r>
      <w:r w:rsidR="00C31EC1" w:rsidRPr="00C31EC1">
        <w:rPr>
          <w:rFonts w:ascii="Cambria" w:hAnsi="Cambria"/>
          <w:b/>
          <w:sz w:val="36"/>
          <w:szCs w:val="36"/>
        </w:rPr>
        <w:t xml:space="preserve"> Internal Verifiers</w:t>
      </w:r>
      <w:r w:rsidR="008110BC">
        <w:rPr>
          <w:rFonts w:ascii="Cambria" w:hAnsi="Cambria"/>
          <w:b/>
          <w:sz w:val="36"/>
          <w:szCs w:val="36"/>
        </w:rPr>
        <w:t xml:space="preserve"> and External Verifiers</w:t>
      </w:r>
      <w:r w:rsidR="00C31EC1" w:rsidRPr="00C31EC1">
        <w:rPr>
          <w:rFonts w:ascii="Cambria" w:hAnsi="Cambria"/>
          <w:b/>
          <w:sz w:val="36"/>
          <w:szCs w:val="36"/>
        </w:rPr>
        <w:t xml:space="preserve"> </w:t>
      </w:r>
    </w:p>
    <w:p w14:paraId="3370B571" w14:textId="77777777" w:rsidR="00C31EC1" w:rsidRDefault="00C31EC1" w:rsidP="00C31EC1">
      <w:pPr>
        <w:pStyle w:val="Default"/>
        <w:rPr>
          <w:rFonts w:ascii="Cambria" w:hAnsi="Cambria"/>
          <w:sz w:val="20"/>
          <w:szCs w:val="20"/>
        </w:rPr>
      </w:pPr>
    </w:p>
    <w:p w14:paraId="05ED7284" w14:textId="77777777" w:rsidR="004121BF" w:rsidRDefault="004121BF" w:rsidP="00C31EC1">
      <w:pPr>
        <w:pStyle w:val="Default"/>
        <w:rPr>
          <w:rFonts w:ascii="Cambria" w:hAnsi="Cambria"/>
          <w:b/>
          <w:bCs/>
        </w:rPr>
      </w:pPr>
    </w:p>
    <w:p w14:paraId="2F120E39" w14:textId="77777777" w:rsidR="003C5567" w:rsidRDefault="00B21BA4" w:rsidP="00C31EC1">
      <w:pPr>
        <w:pStyle w:val="Default"/>
        <w:rPr>
          <w:rFonts w:ascii="Cambria" w:hAnsi="Cambria"/>
          <w:b/>
          <w:bCs/>
          <w:sz w:val="28"/>
          <w:szCs w:val="28"/>
        </w:rPr>
      </w:pPr>
      <w:r w:rsidRPr="00742F95">
        <w:rPr>
          <w:rFonts w:ascii="Cambria" w:hAnsi="Cambria"/>
          <w:b/>
          <w:bCs/>
          <w:color w:val="auto"/>
          <w:sz w:val="28"/>
          <w:szCs w:val="28"/>
        </w:rPr>
        <w:t>2.1</w:t>
      </w:r>
      <w:r w:rsidR="00C31EC1" w:rsidRPr="00742F95">
        <w:rPr>
          <w:rFonts w:ascii="Cambria" w:hAnsi="Cambria"/>
          <w:b/>
          <w:bCs/>
          <w:color w:val="auto"/>
          <w:sz w:val="28"/>
          <w:szCs w:val="28"/>
        </w:rPr>
        <w:t xml:space="preserve"> </w:t>
      </w:r>
      <w:r w:rsidR="00C31EC1" w:rsidRPr="00742F95">
        <w:rPr>
          <w:rFonts w:ascii="Cambria" w:hAnsi="Cambria"/>
          <w:b/>
          <w:bCs/>
          <w:sz w:val="28"/>
          <w:szCs w:val="28"/>
        </w:rPr>
        <w:t>Assessors</w:t>
      </w:r>
    </w:p>
    <w:p w14:paraId="014EE9DB" w14:textId="14FC533D" w:rsidR="00C31EC1" w:rsidRPr="00742F95" w:rsidRDefault="00C31EC1" w:rsidP="00C31EC1">
      <w:pPr>
        <w:pStyle w:val="Default"/>
        <w:rPr>
          <w:rFonts w:ascii="Cambria" w:hAnsi="Cambria"/>
          <w:sz w:val="28"/>
          <w:szCs w:val="28"/>
        </w:rPr>
      </w:pPr>
      <w:r w:rsidRPr="00742F95">
        <w:rPr>
          <w:rFonts w:ascii="Cambria" w:hAnsi="Cambria"/>
          <w:b/>
          <w:bCs/>
          <w:sz w:val="28"/>
          <w:szCs w:val="28"/>
        </w:rPr>
        <w:t xml:space="preserve"> </w:t>
      </w:r>
    </w:p>
    <w:p w14:paraId="177B0820" w14:textId="6E33811F" w:rsidR="00F83B35" w:rsidRDefault="00C31EC1" w:rsidP="007477CE">
      <w:pPr>
        <w:pStyle w:val="Default"/>
        <w:rPr>
          <w:rFonts w:ascii="Cambria" w:hAnsi="Cambria"/>
        </w:rPr>
      </w:pPr>
      <w:r w:rsidRPr="00C31EC1">
        <w:rPr>
          <w:rFonts w:ascii="Cambria" w:hAnsi="Cambria"/>
        </w:rPr>
        <w:t>To asse</w:t>
      </w:r>
      <w:r w:rsidR="007477CE">
        <w:rPr>
          <w:rFonts w:ascii="Cambria" w:hAnsi="Cambria"/>
        </w:rPr>
        <w:t xml:space="preserve">ss </w:t>
      </w:r>
      <w:r w:rsidR="00957F08">
        <w:rPr>
          <w:rFonts w:ascii="Cambria" w:hAnsi="Cambria"/>
        </w:rPr>
        <w:t>Diploma</w:t>
      </w:r>
      <w:r w:rsidR="0065325A">
        <w:rPr>
          <w:rFonts w:ascii="Cambria" w:hAnsi="Cambria"/>
        </w:rPr>
        <w:t xml:space="preserve"> in</w:t>
      </w:r>
      <w:r w:rsidR="00DB40E4">
        <w:rPr>
          <w:rFonts w:ascii="Cambria" w:hAnsi="Cambria"/>
        </w:rPr>
        <w:t xml:space="preserve"> </w:t>
      </w:r>
      <w:r w:rsidR="0005009D">
        <w:rPr>
          <w:rFonts w:ascii="Cambria" w:hAnsi="Cambria"/>
        </w:rPr>
        <w:t>Learning</w:t>
      </w:r>
      <w:r w:rsidR="00DB40E4">
        <w:rPr>
          <w:rFonts w:ascii="Cambria" w:hAnsi="Cambria"/>
        </w:rPr>
        <w:t xml:space="preserve"> and </w:t>
      </w:r>
      <w:r w:rsidR="0005009D">
        <w:rPr>
          <w:rFonts w:ascii="Cambria" w:hAnsi="Cambria"/>
        </w:rPr>
        <w:t>Development</w:t>
      </w:r>
      <w:r w:rsidR="00DB40E4">
        <w:rPr>
          <w:rFonts w:ascii="Cambria" w:hAnsi="Cambria"/>
        </w:rPr>
        <w:t xml:space="preserve"> </w:t>
      </w:r>
      <w:r w:rsidR="007477CE">
        <w:rPr>
          <w:rFonts w:ascii="Cambria" w:hAnsi="Cambria"/>
        </w:rPr>
        <w:t xml:space="preserve">candidates, </w:t>
      </w:r>
      <w:r w:rsidR="00B67A2A">
        <w:rPr>
          <w:rFonts w:ascii="Cambria" w:hAnsi="Cambria"/>
        </w:rPr>
        <w:t>a</w:t>
      </w:r>
      <w:r w:rsidR="007477CE">
        <w:rPr>
          <w:rFonts w:ascii="Cambria" w:hAnsi="Cambria"/>
        </w:rPr>
        <w:t xml:space="preserve">ssessors must: </w:t>
      </w:r>
    </w:p>
    <w:p w14:paraId="65F3836C" w14:textId="77777777" w:rsidR="00F83B35" w:rsidRDefault="00F83B35" w:rsidP="007477CE">
      <w:pPr>
        <w:pStyle w:val="Default"/>
        <w:rPr>
          <w:rFonts w:ascii="Cambria" w:hAnsi="Cambria"/>
        </w:rPr>
      </w:pPr>
    </w:p>
    <w:p w14:paraId="4A05B13B" w14:textId="77777777" w:rsidR="00F83B35" w:rsidRDefault="00F83B35" w:rsidP="00F83B35">
      <w:pPr>
        <w:pStyle w:val="BodyText"/>
        <w:spacing w:before="140" w:line="252" w:lineRule="exact"/>
        <w:ind w:left="838" w:right="541" w:hanging="360"/>
      </w:pPr>
      <w:r>
        <w:rPr>
          <w:noProof/>
          <w:position w:val="-4"/>
          <w:lang w:val="en-GB" w:eastAsia="en-GB"/>
        </w:rPr>
        <w:drawing>
          <wp:inline distT="0" distB="0" distL="0" distR="0" wp14:anchorId="2E52B2E3" wp14:editId="35A56CA8">
            <wp:extent cx="128015" cy="172212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have up-to-date working knowledge and experience of best practice in the relevant area of</w:t>
      </w:r>
      <w:r>
        <w:rPr>
          <w:spacing w:val="-6"/>
        </w:rPr>
        <w:t xml:space="preserve"> </w:t>
      </w:r>
      <w:r>
        <w:t>practice</w:t>
      </w:r>
    </w:p>
    <w:p w14:paraId="576D0CF5" w14:textId="77777777" w:rsidR="00F83B35" w:rsidRDefault="00F83B35" w:rsidP="00F83B35">
      <w:pPr>
        <w:pStyle w:val="BodyText"/>
        <w:spacing w:before="7"/>
        <w:rPr>
          <w:sz w:val="20"/>
        </w:rPr>
      </w:pPr>
    </w:p>
    <w:p w14:paraId="0D96FBC2" w14:textId="77777777" w:rsidR="00F83B35" w:rsidRDefault="00F83B35" w:rsidP="00F83B35">
      <w:pPr>
        <w:pStyle w:val="BodyText"/>
        <w:ind w:left="478"/>
      </w:pPr>
      <w:r>
        <w:rPr>
          <w:noProof/>
          <w:position w:val="-4"/>
          <w:lang w:val="en-GB" w:eastAsia="en-GB"/>
        </w:rPr>
        <w:drawing>
          <wp:inline distT="0" distB="0" distL="0" distR="0" wp14:anchorId="0B972C03" wp14:editId="41802962">
            <wp:extent cx="128015" cy="172212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hold or be working towards one of the</w:t>
      </w:r>
      <w:r>
        <w:rPr>
          <w:spacing w:val="-16"/>
        </w:rPr>
        <w:t xml:space="preserve"> </w:t>
      </w:r>
      <w:r>
        <w:t>following:</w:t>
      </w:r>
    </w:p>
    <w:p w14:paraId="7444F267" w14:textId="77777777" w:rsidR="00F83B35" w:rsidRDefault="00F83B35" w:rsidP="00F83B35">
      <w:pPr>
        <w:pStyle w:val="BodyText"/>
        <w:spacing w:before="8"/>
        <w:rPr>
          <w:sz w:val="20"/>
        </w:rPr>
      </w:pPr>
    </w:p>
    <w:p w14:paraId="14144AB6" w14:textId="5FD7856B" w:rsidR="00F83B35" w:rsidRDefault="002255EE" w:rsidP="00F83B35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4" w:lineRule="exact"/>
        <w:ind w:right="969"/>
        <w:contextualSpacing w:val="0"/>
      </w:pPr>
      <w:r w:rsidRPr="00BF563E">
        <w:t>J3P0 48/</w:t>
      </w:r>
      <w:r w:rsidR="00F83B35" w:rsidRPr="00BF563E">
        <w:t>L&amp;D9DI</w:t>
      </w:r>
      <w:r w:rsidR="00F83B35">
        <w:t xml:space="preserve"> Assess workplace competence using direct and indirect methods</w:t>
      </w:r>
    </w:p>
    <w:p w14:paraId="6982F42B" w14:textId="77777777" w:rsidR="00F83B35" w:rsidRDefault="00F83B35" w:rsidP="00F83B35">
      <w:pPr>
        <w:pStyle w:val="BodyText"/>
        <w:spacing w:before="4"/>
        <w:rPr>
          <w:sz w:val="20"/>
        </w:rPr>
      </w:pPr>
    </w:p>
    <w:p w14:paraId="5FDDFD78" w14:textId="77777777" w:rsidR="00F83B35" w:rsidRDefault="00F83B35" w:rsidP="00F83B35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40" w:lineRule="auto"/>
        <w:contextualSpacing w:val="0"/>
      </w:pPr>
      <w:r>
        <w:t>A1 Assess candidate performance using a range of</w:t>
      </w:r>
      <w:r>
        <w:rPr>
          <w:spacing w:val="-10"/>
        </w:rPr>
        <w:t xml:space="preserve"> </w:t>
      </w:r>
      <w:r>
        <w:t>methods</w:t>
      </w:r>
    </w:p>
    <w:p w14:paraId="6251DB5A" w14:textId="77777777" w:rsidR="00F83B35" w:rsidRDefault="00F83B35" w:rsidP="00F83B35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226" w:after="0" w:line="252" w:lineRule="exact"/>
        <w:ind w:right="322"/>
        <w:contextualSpacing w:val="0"/>
      </w:pPr>
      <w:r>
        <w:t>any appropriate QCF qualifications and/or Units as recognised by SQA accreditation</w:t>
      </w:r>
    </w:p>
    <w:p w14:paraId="79590813" w14:textId="77777777" w:rsidR="00F83B35" w:rsidRDefault="00F83B35" w:rsidP="00F83B35">
      <w:pPr>
        <w:pStyle w:val="BodyText"/>
        <w:spacing w:before="11"/>
        <w:rPr>
          <w:sz w:val="21"/>
        </w:rPr>
      </w:pPr>
    </w:p>
    <w:p w14:paraId="6797AED2" w14:textId="420F0342" w:rsidR="00F83B35" w:rsidRDefault="00F83B35" w:rsidP="00F83B35">
      <w:pPr>
        <w:pStyle w:val="BodyText"/>
        <w:spacing w:line="254" w:lineRule="exact"/>
        <w:ind w:left="838" w:right="248" w:hanging="360"/>
      </w:pPr>
      <w:r>
        <w:rPr>
          <w:noProof/>
          <w:position w:val="-4"/>
          <w:lang w:val="en-GB" w:eastAsia="en-GB"/>
        </w:rPr>
        <w:drawing>
          <wp:inline distT="0" distB="0" distL="0" distR="0" wp14:anchorId="6CC07A94" wp14:editId="2F2B61C6">
            <wp:extent cx="128015" cy="172212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or hold D32 Assess candidate performance and D33 Assess candidate using differing sources of</w:t>
      </w:r>
      <w:r>
        <w:rPr>
          <w:spacing w:val="-7"/>
        </w:rPr>
        <w:t xml:space="preserve"> </w:t>
      </w:r>
      <w:r>
        <w:t>evidence</w:t>
      </w:r>
    </w:p>
    <w:p w14:paraId="54FCE4A0" w14:textId="04DBAC50" w:rsidR="003C5567" w:rsidRDefault="003C5567" w:rsidP="00F83B35">
      <w:pPr>
        <w:pStyle w:val="BodyText"/>
        <w:spacing w:line="254" w:lineRule="exact"/>
        <w:ind w:left="838" w:right="248" w:hanging="360"/>
      </w:pPr>
    </w:p>
    <w:p w14:paraId="7189C677" w14:textId="085ACECE" w:rsidR="003C5567" w:rsidRDefault="003C5567" w:rsidP="003C5567">
      <w:pPr>
        <w:pStyle w:val="Heading4"/>
        <w:spacing w:before="113"/>
        <w:ind w:right="310"/>
      </w:pPr>
      <w:r>
        <w:t xml:space="preserve">If they are assessing </w:t>
      </w:r>
      <w:r w:rsidR="002255EE">
        <w:t>J3NY 47</w:t>
      </w:r>
      <w:r>
        <w:t xml:space="preserve"> or </w:t>
      </w:r>
      <w:r w:rsidR="002255EE">
        <w:t>J3P0 48</w:t>
      </w:r>
      <w:r>
        <w:t>, they must hold one of the assessor qualifications specified above, not just be working towards it.</w:t>
      </w:r>
    </w:p>
    <w:p w14:paraId="7A6E38E6" w14:textId="77777777" w:rsidR="003C5567" w:rsidRDefault="003C5567" w:rsidP="00F83B35">
      <w:pPr>
        <w:pStyle w:val="BodyText"/>
        <w:spacing w:line="254" w:lineRule="exact"/>
        <w:ind w:left="838" w:right="248" w:hanging="360"/>
      </w:pPr>
    </w:p>
    <w:p w14:paraId="411A9A1C" w14:textId="77777777" w:rsidR="00F83B35" w:rsidRDefault="00F83B35" w:rsidP="00F83B35">
      <w:pPr>
        <w:pStyle w:val="BodyText"/>
        <w:spacing w:line="254" w:lineRule="exact"/>
        <w:ind w:left="838" w:right="248" w:hanging="360"/>
      </w:pPr>
    </w:p>
    <w:p w14:paraId="2CC9DCE9" w14:textId="3B17AC76" w:rsidR="00F83B35" w:rsidRDefault="00F83B35" w:rsidP="00F83B35">
      <w:pPr>
        <w:pStyle w:val="BodyText"/>
        <w:ind w:left="118" w:right="148"/>
      </w:pPr>
      <w:r>
        <w:t xml:space="preserve">All assessors must show current evidence of continuing professional development in the relevant area of practice by demonstrating they continue to meet the standard set out in </w:t>
      </w:r>
      <w:r w:rsidR="002255EE">
        <w:t>J3NP 47</w:t>
      </w:r>
      <w:r>
        <w:t xml:space="preserve"> Reflect on, develop and maintain own skills and practice in learning and development.</w:t>
      </w:r>
    </w:p>
    <w:p w14:paraId="572CA132" w14:textId="77777777" w:rsidR="00F83B35" w:rsidRDefault="00F83B35" w:rsidP="00F83B35">
      <w:pPr>
        <w:pStyle w:val="BodyText"/>
        <w:spacing w:line="254" w:lineRule="exact"/>
        <w:ind w:left="838" w:right="248" w:hanging="360"/>
      </w:pPr>
    </w:p>
    <w:p w14:paraId="05AF9159" w14:textId="3EBC8C9A" w:rsidR="008323C0" w:rsidRDefault="008110BC" w:rsidP="008323C0">
      <w:pPr>
        <w:pStyle w:val="Heading4"/>
        <w:spacing w:before="74"/>
      </w:pPr>
      <w:proofErr w:type="gramStart"/>
      <w:r>
        <w:t xml:space="preserve">2.2 </w:t>
      </w:r>
      <w:r w:rsidR="008323C0">
        <w:t xml:space="preserve"> internal</w:t>
      </w:r>
      <w:proofErr w:type="gramEnd"/>
      <w:r w:rsidR="008323C0">
        <w:t xml:space="preserve"> verification</w:t>
      </w:r>
    </w:p>
    <w:p w14:paraId="74889275" w14:textId="77777777" w:rsidR="008323C0" w:rsidRDefault="008323C0" w:rsidP="008323C0">
      <w:pPr>
        <w:pStyle w:val="Heading4"/>
        <w:spacing w:before="74"/>
      </w:pPr>
    </w:p>
    <w:p w14:paraId="3B67ADAB" w14:textId="77777777" w:rsidR="008323C0" w:rsidRDefault="008323C0" w:rsidP="008323C0">
      <w:pPr>
        <w:pStyle w:val="BodyText"/>
        <w:spacing w:before="1"/>
        <w:ind w:left="118"/>
      </w:pPr>
      <w:r>
        <w:t>All those who internally verify these qualifications or Units must:</w:t>
      </w:r>
    </w:p>
    <w:p w14:paraId="137E44A7" w14:textId="77777777" w:rsidR="008323C0" w:rsidRDefault="008323C0" w:rsidP="008323C0">
      <w:pPr>
        <w:pStyle w:val="BodyText"/>
        <w:spacing w:before="140" w:line="252" w:lineRule="exact"/>
        <w:ind w:left="838" w:right="501" w:hanging="360"/>
      </w:pPr>
      <w:r>
        <w:rPr>
          <w:noProof/>
          <w:position w:val="-4"/>
          <w:lang w:val="en-GB" w:eastAsia="en-GB"/>
        </w:rPr>
        <w:drawing>
          <wp:inline distT="0" distB="0" distL="0" distR="0" wp14:anchorId="010F5718" wp14:editId="448CEE50">
            <wp:extent cx="128015" cy="172211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have up-to-date working knowledge and experience of best practice in the relevant area of</w:t>
      </w:r>
      <w:r>
        <w:rPr>
          <w:spacing w:val="-6"/>
        </w:rPr>
        <w:t xml:space="preserve"> </w:t>
      </w:r>
      <w:r>
        <w:t>practice</w:t>
      </w:r>
    </w:p>
    <w:p w14:paraId="6E1C71BD" w14:textId="77777777" w:rsidR="008323C0" w:rsidRDefault="008323C0" w:rsidP="008323C0">
      <w:pPr>
        <w:pStyle w:val="BodyText"/>
        <w:spacing w:before="7"/>
        <w:rPr>
          <w:sz w:val="20"/>
        </w:rPr>
      </w:pPr>
    </w:p>
    <w:p w14:paraId="54444CE8" w14:textId="77777777" w:rsidR="008323C0" w:rsidRDefault="008323C0" w:rsidP="008323C0">
      <w:pPr>
        <w:pStyle w:val="BodyText"/>
        <w:ind w:left="478"/>
      </w:pPr>
      <w:r>
        <w:rPr>
          <w:noProof/>
          <w:position w:val="-4"/>
          <w:lang w:val="en-GB" w:eastAsia="en-GB"/>
        </w:rPr>
        <w:drawing>
          <wp:inline distT="0" distB="0" distL="0" distR="0" wp14:anchorId="6D9F4E8C" wp14:editId="13955436">
            <wp:extent cx="128015" cy="172211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hold one of the</w:t>
      </w:r>
      <w:r>
        <w:rPr>
          <w:spacing w:val="-8"/>
        </w:rPr>
        <w:t xml:space="preserve"> </w:t>
      </w:r>
      <w:r>
        <w:t>following:</w:t>
      </w:r>
    </w:p>
    <w:p w14:paraId="5B4733D3" w14:textId="77777777" w:rsidR="008323C0" w:rsidRDefault="008323C0" w:rsidP="008323C0">
      <w:pPr>
        <w:pStyle w:val="BodyText"/>
        <w:spacing w:before="8"/>
        <w:rPr>
          <w:sz w:val="20"/>
        </w:rPr>
      </w:pPr>
    </w:p>
    <w:p w14:paraId="559C13CC" w14:textId="09F53A3C" w:rsidR="008323C0" w:rsidRDefault="002255EE" w:rsidP="008323C0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4" w:lineRule="exact"/>
        <w:ind w:right="928"/>
        <w:contextualSpacing w:val="0"/>
      </w:pPr>
      <w:r w:rsidRPr="00BF563E">
        <w:t>J3P0 48/</w:t>
      </w:r>
      <w:r w:rsidR="008323C0" w:rsidRPr="00BF563E">
        <w:t>L&amp;D9DI</w:t>
      </w:r>
      <w:r w:rsidR="008323C0">
        <w:t xml:space="preserve"> Assess workplace competence using direct and indirect methods</w:t>
      </w:r>
    </w:p>
    <w:p w14:paraId="5FB05365" w14:textId="77777777" w:rsidR="008323C0" w:rsidRDefault="008323C0" w:rsidP="008323C0">
      <w:pPr>
        <w:pStyle w:val="BodyText"/>
        <w:spacing w:before="4"/>
        <w:rPr>
          <w:sz w:val="20"/>
        </w:rPr>
      </w:pPr>
    </w:p>
    <w:p w14:paraId="0A7C452D" w14:textId="77777777" w:rsidR="008323C0" w:rsidRDefault="008323C0" w:rsidP="008323C0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1" w:after="0" w:line="240" w:lineRule="auto"/>
        <w:contextualSpacing w:val="0"/>
      </w:pPr>
      <w:r>
        <w:t>A1 Assess candidate performance using a range of</w:t>
      </w:r>
      <w:r>
        <w:rPr>
          <w:spacing w:val="-10"/>
        </w:rPr>
        <w:t xml:space="preserve"> </w:t>
      </w:r>
      <w:r>
        <w:t>methods</w:t>
      </w:r>
    </w:p>
    <w:p w14:paraId="5C769002" w14:textId="77777777" w:rsidR="008323C0" w:rsidRDefault="008323C0" w:rsidP="008323C0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227" w:after="0" w:line="252" w:lineRule="exact"/>
        <w:ind w:right="282"/>
        <w:contextualSpacing w:val="0"/>
      </w:pPr>
      <w:r>
        <w:t>any appropriate QCF qualifications and/or Units as recognised by SQA accreditation</w:t>
      </w:r>
    </w:p>
    <w:p w14:paraId="4B7F9390" w14:textId="77777777" w:rsidR="008323C0" w:rsidRDefault="008323C0" w:rsidP="008323C0">
      <w:pPr>
        <w:pStyle w:val="BodyText"/>
        <w:spacing w:before="9"/>
        <w:rPr>
          <w:sz w:val="20"/>
        </w:rPr>
      </w:pPr>
    </w:p>
    <w:p w14:paraId="784CD84C" w14:textId="77777777" w:rsidR="008323C0" w:rsidRDefault="008323C0" w:rsidP="008323C0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4" w:lineRule="exact"/>
        <w:ind w:right="413"/>
        <w:contextualSpacing w:val="0"/>
      </w:pPr>
      <w:r>
        <w:t>D32 Assess candidate performance and D33 Assess candidate using differing sources of</w:t>
      </w:r>
      <w:r>
        <w:rPr>
          <w:spacing w:val="-7"/>
        </w:rPr>
        <w:t xml:space="preserve"> </w:t>
      </w:r>
      <w:r>
        <w:t>evidence</w:t>
      </w:r>
    </w:p>
    <w:p w14:paraId="3712C569" w14:textId="77777777" w:rsidR="008323C0" w:rsidRDefault="008323C0" w:rsidP="008323C0">
      <w:pPr>
        <w:pStyle w:val="BodyText"/>
        <w:spacing w:before="4"/>
        <w:rPr>
          <w:sz w:val="20"/>
        </w:rPr>
      </w:pPr>
    </w:p>
    <w:p w14:paraId="662C12E7" w14:textId="77777777" w:rsidR="008323C0" w:rsidRDefault="008323C0" w:rsidP="008323C0">
      <w:pPr>
        <w:pStyle w:val="BodyText"/>
        <w:ind w:left="118" w:right="646"/>
      </w:pPr>
      <w:r>
        <w:t>They must either hold or be working towards one of the following internal quality assurance qualifications:</w:t>
      </w:r>
    </w:p>
    <w:p w14:paraId="43DE05E1" w14:textId="77777777" w:rsidR="008323C0" w:rsidRDefault="008323C0" w:rsidP="008323C0">
      <w:pPr>
        <w:pStyle w:val="BodyText"/>
        <w:spacing w:before="1"/>
        <w:rPr>
          <w:sz w:val="21"/>
        </w:rPr>
      </w:pPr>
    </w:p>
    <w:p w14:paraId="37945A09" w14:textId="7ED672EC" w:rsidR="008323C0" w:rsidRDefault="00053EBD" w:rsidP="008323C0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2" w:lineRule="exact"/>
        <w:ind w:right="1065"/>
        <w:contextualSpacing w:val="0"/>
      </w:pPr>
      <w:r>
        <w:t>J45B</w:t>
      </w:r>
      <w:r w:rsidR="00273C87">
        <w:t xml:space="preserve"> </w:t>
      </w:r>
      <w:r>
        <w:t>04</w:t>
      </w:r>
      <w:r w:rsidR="00D12920">
        <w:t>/</w:t>
      </w:r>
      <w:r w:rsidR="008323C0">
        <w:t>L&amp;D11 Internally monitor and maintain the quality of workplace assessment</w:t>
      </w:r>
    </w:p>
    <w:p w14:paraId="514EE82E" w14:textId="77777777" w:rsidR="008323C0" w:rsidRDefault="008323C0" w:rsidP="008323C0">
      <w:pPr>
        <w:pStyle w:val="BodyText"/>
        <w:spacing w:before="7"/>
        <w:rPr>
          <w:sz w:val="20"/>
        </w:rPr>
      </w:pPr>
    </w:p>
    <w:p w14:paraId="5B2E0F8A" w14:textId="77777777" w:rsidR="008323C0" w:rsidRDefault="008323C0" w:rsidP="008323C0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434" w:lineRule="auto"/>
        <w:ind w:left="478" w:right="780" w:firstLine="360"/>
        <w:contextualSpacing w:val="0"/>
      </w:pPr>
      <w:r>
        <w:t>V1 Conduct internal quality assurance of the</w:t>
      </w:r>
      <w:r>
        <w:rPr>
          <w:spacing w:val="-14"/>
        </w:rPr>
        <w:t xml:space="preserve"> </w:t>
      </w:r>
      <w:r>
        <w:t xml:space="preserve">assessment process </w:t>
      </w:r>
      <w:r>
        <w:rPr>
          <w:noProof/>
          <w:position w:val="-4"/>
          <w:lang w:eastAsia="en-GB"/>
        </w:rPr>
        <w:drawing>
          <wp:inline distT="0" distB="0" distL="0" distR="0" wp14:anchorId="62CC5F20" wp14:editId="556A41B7">
            <wp:extent cx="128015" cy="172212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7"/>
        </w:rPr>
        <w:t xml:space="preserve"> </w:t>
      </w:r>
      <w:r>
        <w:t>or hold D34 Internally verify the assessment</w:t>
      </w:r>
      <w:r>
        <w:rPr>
          <w:spacing w:val="-14"/>
        </w:rPr>
        <w:t xml:space="preserve"> </w:t>
      </w:r>
      <w:r>
        <w:t>process</w:t>
      </w:r>
    </w:p>
    <w:p w14:paraId="11171161" w14:textId="31352319" w:rsidR="008323C0" w:rsidRDefault="008323C0" w:rsidP="008323C0">
      <w:pPr>
        <w:pStyle w:val="Heading4"/>
        <w:spacing w:before="15"/>
        <w:ind w:right="99"/>
      </w:pPr>
      <w:r>
        <w:t xml:space="preserve">If they are internally verifying </w:t>
      </w:r>
      <w:r w:rsidR="002255EE">
        <w:t xml:space="preserve">J3NY </w:t>
      </w:r>
      <w:r w:rsidR="002255EE" w:rsidRPr="00BF563E">
        <w:t>47</w:t>
      </w:r>
      <w:r w:rsidR="0055045A" w:rsidRPr="00BF563E">
        <w:t xml:space="preserve"> or</w:t>
      </w:r>
      <w:r w:rsidRPr="00BF563E">
        <w:t xml:space="preserve"> </w:t>
      </w:r>
      <w:r w:rsidR="002255EE" w:rsidRPr="00BF563E">
        <w:t>J3P0 48</w:t>
      </w:r>
      <w:r>
        <w:t>, they must hold one of the specified internal verifier qualifications, not just be working towards it.</w:t>
      </w:r>
    </w:p>
    <w:p w14:paraId="3D026D76" w14:textId="5E905204" w:rsidR="008323C0" w:rsidRDefault="008323C0" w:rsidP="008323C0">
      <w:pPr>
        <w:pStyle w:val="BodyText"/>
        <w:spacing w:before="121"/>
        <w:ind w:left="118" w:right="218"/>
      </w:pPr>
      <w:r>
        <w:t xml:space="preserve">All internal verifiers must show current evidence of continuing professional development in the relevant area of practice by demonstrating they continue to meet the standard set out in </w:t>
      </w:r>
      <w:r w:rsidR="002255EE">
        <w:t>J3NP 47</w:t>
      </w:r>
      <w:r>
        <w:t xml:space="preserve"> Reflect on, develop and maintain own skills and practice in learning and development.</w:t>
      </w:r>
    </w:p>
    <w:p w14:paraId="212E1CB0" w14:textId="77777777" w:rsidR="008323C0" w:rsidRDefault="008323C0" w:rsidP="008323C0">
      <w:pPr>
        <w:pStyle w:val="BodyText"/>
        <w:spacing w:before="8"/>
        <w:rPr>
          <w:sz w:val="28"/>
        </w:rPr>
      </w:pPr>
    </w:p>
    <w:p w14:paraId="7F818205" w14:textId="6CBC7DCB" w:rsidR="001A5DFC" w:rsidRDefault="008110BC" w:rsidP="001A5DFC">
      <w:pPr>
        <w:pStyle w:val="Heading4"/>
      </w:pPr>
      <w:r>
        <w:t>2.3 E</w:t>
      </w:r>
      <w:r w:rsidR="001A5DFC">
        <w:t xml:space="preserve">xternal </w:t>
      </w:r>
      <w:r>
        <w:t>V</w:t>
      </w:r>
      <w:r w:rsidR="001A5DFC">
        <w:t>erifi</w:t>
      </w:r>
      <w:r>
        <w:t>ers</w:t>
      </w:r>
    </w:p>
    <w:p w14:paraId="2665FEBE" w14:textId="77777777" w:rsidR="001A5DFC" w:rsidRDefault="001A5DFC" w:rsidP="001A5DFC">
      <w:pPr>
        <w:pStyle w:val="BodyText"/>
        <w:spacing w:before="3"/>
        <w:ind w:left="118"/>
      </w:pPr>
      <w:r>
        <w:t>All those who externally verify these qualifications or Units must:</w:t>
      </w:r>
    </w:p>
    <w:p w14:paraId="31EA7B7E" w14:textId="77777777" w:rsidR="001A5DFC" w:rsidRDefault="001A5DFC" w:rsidP="001A5DFC">
      <w:pPr>
        <w:pStyle w:val="BodyText"/>
        <w:spacing w:before="136" w:line="254" w:lineRule="exact"/>
        <w:ind w:left="838" w:right="501" w:hanging="360"/>
      </w:pPr>
      <w:r>
        <w:rPr>
          <w:noProof/>
          <w:position w:val="-4"/>
          <w:lang w:val="en-GB" w:eastAsia="en-GB"/>
        </w:rPr>
        <w:drawing>
          <wp:inline distT="0" distB="0" distL="0" distR="0" wp14:anchorId="24EAE8D3" wp14:editId="62F2BCBE">
            <wp:extent cx="128015" cy="172212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have up-to-date working knowledge and experience of best practice in the relevant area of</w:t>
      </w:r>
      <w:r>
        <w:rPr>
          <w:spacing w:val="-6"/>
        </w:rPr>
        <w:t xml:space="preserve"> </w:t>
      </w:r>
      <w:r>
        <w:t>practice</w:t>
      </w:r>
    </w:p>
    <w:p w14:paraId="0B905AA8" w14:textId="77777777" w:rsidR="001A5DFC" w:rsidRDefault="001A5DFC" w:rsidP="001A5DFC">
      <w:pPr>
        <w:pStyle w:val="BodyText"/>
        <w:spacing w:before="4"/>
        <w:rPr>
          <w:sz w:val="20"/>
        </w:rPr>
      </w:pPr>
    </w:p>
    <w:p w14:paraId="3BF29641" w14:textId="77777777" w:rsidR="001A5DFC" w:rsidRDefault="001A5DFC" w:rsidP="001A5DFC">
      <w:pPr>
        <w:pStyle w:val="BodyText"/>
        <w:ind w:left="478"/>
      </w:pPr>
      <w:r>
        <w:rPr>
          <w:noProof/>
          <w:position w:val="-4"/>
          <w:lang w:val="en-GB" w:eastAsia="en-GB"/>
        </w:rPr>
        <w:drawing>
          <wp:inline distT="0" distB="0" distL="0" distR="0" wp14:anchorId="153FB9EA" wp14:editId="48CC0745">
            <wp:extent cx="128015" cy="172212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t>hold one of the</w:t>
      </w:r>
      <w:r>
        <w:rPr>
          <w:spacing w:val="-8"/>
        </w:rPr>
        <w:t xml:space="preserve"> </w:t>
      </w:r>
      <w:r>
        <w:t>following:</w:t>
      </w:r>
    </w:p>
    <w:p w14:paraId="647B106E" w14:textId="77777777" w:rsidR="001A5DFC" w:rsidRDefault="001A5DFC" w:rsidP="001A5DFC">
      <w:pPr>
        <w:pStyle w:val="BodyText"/>
        <w:rPr>
          <w:sz w:val="21"/>
        </w:rPr>
      </w:pPr>
    </w:p>
    <w:p w14:paraId="60323D7A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2" w:lineRule="exact"/>
        <w:ind w:right="928"/>
        <w:contextualSpacing w:val="0"/>
      </w:pPr>
      <w:r w:rsidRPr="002255EE">
        <w:t>L&amp;D9DI</w:t>
      </w:r>
      <w:r>
        <w:t xml:space="preserve"> Assess workplace competence using direct and indirect methods</w:t>
      </w:r>
    </w:p>
    <w:p w14:paraId="026D5248" w14:textId="77777777" w:rsidR="001A5DFC" w:rsidRDefault="001A5DFC" w:rsidP="001A5DFC">
      <w:pPr>
        <w:pStyle w:val="BodyText"/>
        <w:spacing w:before="6"/>
        <w:rPr>
          <w:sz w:val="20"/>
        </w:rPr>
      </w:pPr>
    </w:p>
    <w:p w14:paraId="36FA4948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1" w:after="0" w:line="240" w:lineRule="auto"/>
        <w:contextualSpacing w:val="0"/>
      </w:pPr>
      <w:r>
        <w:t>A1 Assess candidate performance using a range of</w:t>
      </w:r>
      <w:r>
        <w:rPr>
          <w:spacing w:val="-10"/>
        </w:rPr>
        <w:t xml:space="preserve"> </w:t>
      </w:r>
      <w:r>
        <w:t>methods</w:t>
      </w:r>
    </w:p>
    <w:p w14:paraId="3ADA20AE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224" w:after="0" w:line="252" w:lineRule="exact"/>
        <w:ind w:right="282"/>
        <w:contextualSpacing w:val="0"/>
      </w:pPr>
      <w:r>
        <w:t>any appropriate QCF qualifications and/or Units as recognised by SQA accreditation</w:t>
      </w:r>
    </w:p>
    <w:p w14:paraId="5D2495AA" w14:textId="77777777" w:rsidR="001A5DFC" w:rsidRDefault="001A5DFC" w:rsidP="001A5DFC">
      <w:pPr>
        <w:pStyle w:val="BodyText"/>
        <w:rPr>
          <w:sz w:val="21"/>
        </w:rPr>
      </w:pPr>
    </w:p>
    <w:p w14:paraId="5F8E8E85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2" w:lineRule="exact"/>
        <w:ind w:right="414"/>
        <w:contextualSpacing w:val="0"/>
      </w:pPr>
      <w:r>
        <w:t>D32 Assess candidate performance and D33 Assess candidate using differing sources of</w:t>
      </w:r>
      <w:r>
        <w:rPr>
          <w:spacing w:val="-7"/>
        </w:rPr>
        <w:t xml:space="preserve"> </w:t>
      </w:r>
      <w:r>
        <w:t>evidence</w:t>
      </w:r>
    </w:p>
    <w:p w14:paraId="7AFE7681" w14:textId="77777777" w:rsidR="001A5DFC" w:rsidRDefault="001A5DFC" w:rsidP="001A5DFC">
      <w:pPr>
        <w:spacing w:line="252" w:lineRule="exact"/>
        <w:sectPr w:rsidR="001A5DFC">
          <w:pgSz w:w="11910" w:h="16850"/>
          <w:pgMar w:top="1360" w:right="1680" w:bottom="1080" w:left="1680" w:header="0" w:footer="887" w:gutter="0"/>
          <w:cols w:space="720"/>
        </w:sectPr>
      </w:pPr>
    </w:p>
    <w:p w14:paraId="0F152C2D" w14:textId="77777777" w:rsidR="001A5DFC" w:rsidRDefault="001A5DFC" w:rsidP="001A5DFC">
      <w:pPr>
        <w:pStyle w:val="BodyText"/>
        <w:spacing w:before="77"/>
        <w:ind w:left="118"/>
      </w:pPr>
      <w:r>
        <w:lastRenderedPageBreak/>
        <w:t>They must hold one of the following internal quality assurance qualifications:</w:t>
      </w:r>
    </w:p>
    <w:p w14:paraId="3A4C70D2" w14:textId="77777777" w:rsidR="001A5DFC" w:rsidRDefault="001A5DFC" w:rsidP="001A5DFC">
      <w:pPr>
        <w:pStyle w:val="BodyText"/>
        <w:spacing w:before="1"/>
        <w:rPr>
          <w:sz w:val="21"/>
        </w:rPr>
      </w:pPr>
    </w:p>
    <w:p w14:paraId="21910427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4" w:lineRule="exact"/>
        <w:ind w:right="1065"/>
        <w:contextualSpacing w:val="0"/>
      </w:pPr>
      <w:r>
        <w:t>L&amp;D11 Internally monitor and maintain the quality of workplace assessment</w:t>
      </w:r>
    </w:p>
    <w:p w14:paraId="53591A2B" w14:textId="77777777" w:rsidR="001A5DFC" w:rsidRDefault="001A5DFC" w:rsidP="001A5DFC">
      <w:pPr>
        <w:pStyle w:val="BodyText"/>
        <w:spacing w:before="4"/>
        <w:rPr>
          <w:sz w:val="20"/>
        </w:rPr>
      </w:pPr>
    </w:p>
    <w:p w14:paraId="1C4DC0D6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40" w:lineRule="auto"/>
        <w:contextualSpacing w:val="0"/>
      </w:pPr>
      <w:r>
        <w:t>V1 Conduct internal quality assurance of the assessment</w:t>
      </w:r>
      <w:r>
        <w:rPr>
          <w:spacing w:val="-16"/>
        </w:rPr>
        <w:t xml:space="preserve"> </w:t>
      </w:r>
      <w:r>
        <w:t>process</w:t>
      </w:r>
    </w:p>
    <w:p w14:paraId="6DEB83B8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226" w:after="0" w:line="252" w:lineRule="exact"/>
        <w:ind w:right="282"/>
        <w:contextualSpacing w:val="0"/>
      </w:pPr>
      <w:r>
        <w:t>any appropriate QCF qualifications and/or Units as recognised by SQA accreditation</w:t>
      </w:r>
    </w:p>
    <w:p w14:paraId="7F290999" w14:textId="77777777" w:rsidR="001A5DFC" w:rsidRDefault="001A5DFC" w:rsidP="001A5DFC">
      <w:pPr>
        <w:pStyle w:val="BodyText"/>
        <w:spacing w:before="5"/>
        <w:rPr>
          <w:sz w:val="20"/>
        </w:rPr>
      </w:pPr>
    </w:p>
    <w:p w14:paraId="6462382D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40" w:lineRule="auto"/>
        <w:contextualSpacing w:val="0"/>
      </w:pPr>
      <w:r>
        <w:t>D34 Internally verify the assessment</w:t>
      </w:r>
      <w:r>
        <w:rPr>
          <w:spacing w:val="-13"/>
        </w:rPr>
        <w:t xml:space="preserve"> </w:t>
      </w:r>
      <w:r>
        <w:t>process</w:t>
      </w:r>
    </w:p>
    <w:p w14:paraId="27121175" w14:textId="77777777" w:rsidR="001A5DFC" w:rsidRDefault="001A5DFC" w:rsidP="001A5DFC">
      <w:pPr>
        <w:pStyle w:val="BodyText"/>
        <w:spacing w:before="222"/>
        <w:ind w:left="118" w:right="120"/>
      </w:pPr>
      <w:r>
        <w:t>They must hold or be working towards one of the following external quality assurance qualifications:</w:t>
      </w:r>
    </w:p>
    <w:p w14:paraId="7B3479AF" w14:textId="77777777" w:rsidR="001A5DFC" w:rsidRDefault="001A5DFC" w:rsidP="001A5DFC">
      <w:pPr>
        <w:pStyle w:val="BodyText"/>
        <w:spacing w:before="5"/>
        <w:rPr>
          <w:sz w:val="21"/>
        </w:rPr>
      </w:pPr>
    </w:p>
    <w:p w14:paraId="272D3A05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52" w:lineRule="exact"/>
        <w:ind w:right="988"/>
        <w:contextualSpacing w:val="0"/>
      </w:pPr>
      <w:r>
        <w:t>L&amp;D12 Externally monitor and maintain the quality of workplace assessment</w:t>
      </w:r>
    </w:p>
    <w:p w14:paraId="0D1786A5" w14:textId="77777777" w:rsidR="001A5DFC" w:rsidRDefault="001A5DFC" w:rsidP="001A5DFC">
      <w:pPr>
        <w:pStyle w:val="BodyText"/>
        <w:spacing w:before="4"/>
        <w:rPr>
          <w:sz w:val="20"/>
        </w:rPr>
      </w:pPr>
    </w:p>
    <w:p w14:paraId="5A951D97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1" w:after="0" w:line="240" w:lineRule="auto"/>
        <w:contextualSpacing w:val="0"/>
      </w:pPr>
      <w:r>
        <w:t>V2 Conduct external quality assurance of the assessment</w:t>
      </w:r>
      <w:r>
        <w:rPr>
          <w:spacing w:val="-18"/>
        </w:rPr>
        <w:t xml:space="preserve"> </w:t>
      </w:r>
      <w:r>
        <w:t>process</w:t>
      </w:r>
    </w:p>
    <w:p w14:paraId="259D05CB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before="227" w:after="0" w:line="252" w:lineRule="exact"/>
        <w:ind w:right="282"/>
        <w:contextualSpacing w:val="0"/>
      </w:pPr>
      <w:r>
        <w:t>any appropriate QCF qualifications and/or Units as recognised by SQA accreditation</w:t>
      </w:r>
    </w:p>
    <w:p w14:paraId="13F411B8" w14:textId="77777777" w:rsidR="001A5DFC" w:rsidRDefault="001A5DFC" w:rsidP="001A5DFC">
      <w:pPr>
        <w:pStyle w:val="BodyText"/>
        <w:spacing w:before="7"/>
        <w:rPr>
          <w:sz w:val="20"/>
        </w:rPr>
      </w:pPr>
    </w:p>
    <w:p w14:paraId="15587293" w14:textId="77777777" w:rsidR="001A5DFC" w:rsidRDefault="001A5DFC" w:rsidP="001A5DFC">
      <w:pPr>
        <w:pStyle w:val="ListParagraph"/>
        <w:widowControl w:val="0"/>
        <w:numPr>
          <w:ilvl w:val="0"/>
          <w:numId w:val="11"/>
        </w:numPr>
        <w:tabs>
          <w:tab w:val="left" w:pos="1377"/>
          <w:tab w:val="left" w:pos="1378"/>
        </w:tabs>
        <w:autoSpaceDE w:val="0"/>
        <w:autoSpaceDN w:val="0"/>
        <w:spacing w:after="0" w:line="240" w:lineRule="auto"/>
        <w:contextualSpacing w:val="0"/>
      </w:pPr>
      <w:r>
        <w:t>D35 Externally verify the assessment</w:t>
      </w:r>
      <w:r>
        <w:rPr>
          <w:spacing w:val="-10"/>
        </w:rPr>
        <w:t xml:space="preserve"> </w:t>
      </w:r>
      <w:r>
        <w:t>process</w:t>
      </w:r>
    </w:p>
    <w:p w14:paraId="7D3023C0" w14:textId="394BF0E3" w:rsidR="001A5DFC" w:rsidRDefault="001A5DFC" w:rsidP="001A5DFC">
      <w:pPr>
        <w:pStyle w:val="Heading4"/>
        <w:spacing w:before="216"/>
        <w:ind w:right="502"/>
      </w:pPr>
      <w:r>
        <w:t xml:space="preserve">If they are externally verifying </w:t>
      </w:r>
      <w:r w:rsidR="002255EE">
        <w:t xml:space="preserve">J3NY </w:t>
      </w:r>
      <w:r w:rsidR="002255EE" w:rsidRPr="00BF563E">
        <w:t>47</w:t>
      </w:r>
      <w:r w:rsidR="00B24865" w:rsidRPr="00BF563E">
        <w:t xml:space="preserve"> or</w:t>
      </w:r>
      <w:r w:rsidRPr="00BF563E">
        <w:t xml:space="preserve"> </w:t>
      </w:r>
      <w:r w:rsidR="002255EE" w:rsidRPr="00BF563E">
        <w:t>J3P0 48</w:t>
      </w:r>
      <w:r w:rsidRPr="00BF563E">
        <w:t>,</w:t>
      </w:r>
      <w:r>
        <w:t xml:space="preserve"> they must hold one of the specified external verifier qualifications, not just be working towards it.</w:t>
      </w:r>
    </w:p>
    <w:p w14:paraId="3AD87F5A" w14:textId="77777777" w:rsidR="001A5DFC" w:rsidRDefault="001A5DFC" w:rsidP="001A5DFC">
      <w:pPr>
        <w:pStyle w:val="BodyText"/>
        <w:spacing w:before="11"/>
        <w:rPr>
          <w:b/>
          <w:sz w:val="20"/>
        </w:rPr>
      </w:pPr>
    </w:p>
    <w:p w14:paraId="1E9A6A40" w14:textId="7CE346C1" w:rsidR="001A5DFC" w:rsidRDefault="001A5DFC" w:rsidP="001A5DFC">
      <w:pPr>
        <w:pStyle w:val="BodyText"/>
        <w:ind w:left="118" w:right="218"/>
      </w:pPr>
      <w:r>
        <w:t xml:space="preserve">All external verifiers must show current evidence of continuing professional development in the relevant area of practice by demonstrating they continue to meet the standard set out in </w:t>
      </w:r>
      <w:r w:rsidR="00D12920">
        <w:t>L&amp;D10 (FD42 04)</w:t>
      </w:r>
      <w:r>
        <w:t xml:space="preserve"> Reflect on, develop and maintain own skills and practice in learning and development.</w:t>
      </w:r>
    </w:p>
    <w:p w14:paraId="6630F119" w14:textId="77777777" w:rsidR="00C31EC1" w:rsidRPr="007477CE" w:rsidRDefault="007477CE" w:rsidP="007477CE">
      <w:pPr>
        <w:pStyle w:val="Default"/>
        <w:rPr>
          <w:rFonts w:ascii="Cambria" w:hAnsi="Cambria"/>
        </w:rPr>
      </w:pPr>
      <w:r>
        <w:rPr>
          <w:rFonts w:ascii="Cambria" w:hAnsi="Cambria"/>
        </w:rPr>
        <w:br/>
      </w:r>
    </w:p>
    <w:p w14:paraId="6C26A8A8" w14:textId="77777777" w:rsidR="002360A2" w:rsidRPr="0005009D" w:rsidRDefault="007477CE" w:rsidP="0005009D">
      <w:pPr>
        <w:ind w:left="360"/>
        <w:rPr>
          <w:rFonts w:asciiTheme="majorHAnsi" w:hAnsiTheme="majorHAnsi" w:cs="Calibri"/>
          <w:color w:val="000000"/>
          <w:sz w:val="24"/>
          <w:szCs w:val="24"/>
        </w:rPr>
      </w:pPr>
      <w:r w:rsidRPr="0005009D">
        <w:rPr>
          <w:rFonts w:asciiTheme="majorHAnsi" w:hAnsiTheme="majorHAnsi"/>
          <w:sz w:val="24"/>
          <w:szCs w:val="24"/>
        </w:rPr>
        <w:t>.</w:t>
      </w:r>
      <w:r w:rsidR="002360A2" w:rsidRPr="0005009D">
        <w:rPr>
          <w:rFonts w:asciiTheme="majorHAnsi" w:hAnsiTheme="majorHAnsi"/>
          <w:sz w:val="24"/>
          <w:szCs w:val="24"/>
        </w:rPr>
        <w:br/>
      </w:r>
    </w:p>
    <w:p w14:paraId="6A77E4FE" w14:textId="77777777" w:rsidR="00854C37" w:rsidRDefault="00854C37" w:rsidP="002360A2">
      <w:pPr>
        <w:ind w:left="360"/>
        <w:rPr>
          <w:rFonts w:asciiTheme="majorHAnsi" w:hAnsiTheme="majorHAnsi"/>
          <w:b/>
          <w:sz w:val="24"/>
          <w:szCs w:val="24"/>
        </w:rPr>
      </w:pPr>
    </w:p>
    <w:p w14:paraId="1498DF02" w14:textId="77777777" w:rsidR="00C31EC1" w:rsidRPr="002360A2" w:rsidRDefault="00C31EC1" w:rsidP="002360A2">
      <w:pPr>
        <w:ind w:left="360"/>
        <w:rPr>
          <w:rFonts w:asciiTheme="majorHAnsi" w:hAnsiTheme="majorHAnsi" w:cs="Calibri"/>
          <w:b/>
          <w:color w:val="000000"/>
          <w:sz w:val="24"/>
          <w:szCs w:val="24"/>
        </w:rPr>
      </w:pPr>
      <w:r w:rsidRPr="002360A2">
        <w:rPr>
          <w:rFonts w:asciiTheme="majorHAnsi" w:hAnsiTheme="majorHAnsi"/>
          <w:b/>
          <w:sz w:val="24"/>
          <w:szCs w:val="24"/>
        </w:rPr>
        <w:br w:type="page"/>
      </w:r>
    </w:p>
    <w:p w14:paraId="47B0176F" w14:textId="77777777" w:rsidR="00854C37" w:rsidRDefault="00854C37" w:rsidP="00294E68">
      <w:pPr>
        <w:pStyle w:val="Default"/>
        <w:rPr>
          <w:rFonts w:asciiTheme="majorHAnsi" w:hAnsiTheme="majorHAnsi"/>
          <w:b/>
        </w:rPr>
      </w:pPr>
    </w:p>
    <w:p w14:paraId="666207D1" w14:textId="77777777" w:rsidR="00053855" w:rsidRDefault="00053855">
      <w:pPr>
        <w:rPr>
          <w:rFonts w:asciiTheme="majorHAnsi" w:hAnsiTheme="majorHAnsi"/>
          <w:b/>
        </w:rPr>
      </w:pPr>
    </w:p>
    <w:p w14:paraId="59D2CCB8" w14:textId="77777777" w:rsidR="00EB7244" w:rsidRPr="001B36A2" w:rsidRDefault="00742F95" w:rsidP="00EB7244">
      <w:pPr>
        <w:pStyle w:val="Default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3</w:t>
      </w:r>
      <w:r w:rsidR="00EB7244" w:rsidRPr="001B36A2">
        <w:rPr>
          <w:rFonts w:ascii="Cambria" w:hAnsi="Cambria"/>
          <w:b/>
          <w:sz w:val="36"/>
          <w:szCs w:val="36"/>
        </w:rPr>
        <w:t xml:space="preserve">. Evidence </w:t>
      </w:r>
    </w:p>
    <w:p w14:paraId="070488FC" w14:textId="77777777" w:rsidR="00EB7244" w:rsidRPr="00EB7244" w:rsidRDefault="00EB7244" w:rsidP="00EB7244">
      <w:pPr>
        <w:pStyle w:val="Default"/>
        <w:rPr>
          <w:rFonts w:ascii="Cambria" w:hAnsi="Cambria"/>
          <w:sz w:val="36"/>
          <w:szCs w:val="36"/>
        </w:rPr>
      </w:pPr>
    </w:p>
    <w:p w14:paraId="167E3596" w14:textId="77777777" w:rsidR="00A329E7" w:rsidRPr="00AF5FFD" w:rsidRDefault="00A329E7" w:rsidP="00A329E7">
      <w:pPr>
        <w:pStyle w:val="Heading4"/>
      </w:pPr>
      <w:r w:rsidRPr="00AF5FFD">
        <w:t>Workplace Evidence and Simulation</w:t>
      </w:r>
    </w:p>
    <w:p w14:paraId="02DA7FFB" w14:textId="77777777" w:rsidR="00A329E7" w:rsidRPr="00A329E7" w:rsidRDefault="00A329E7" w:rsidP="00A329E7">
      <w:pPr>
        <w:pStyle w:val="Heading4"/>
        <w:rPr>
          <w:sz w:val="28"/>
          <w:szCs w:val="28"/>
        </w:rPr>
      </w:pPr>
    </w:p>
    <w:p w14:paraId="136C7469" w14:textId="7E83AA93" w:rsidR="00A329E7" w:rsidRDefault="00A329E7" w:rsidP="00A329E7">
      <w:pPr>
        <w:pStyle w:val="BodyText"/>
        <w:spacing w:before="1"/>
        <w:ind w:left="118"/>
      </w:pPr>
      <w:r>
        <w:t>All performance evidence must come from real workplace practice in Learning and Development, Assessment and Verification. The use of simulation is not allowed for these qualifications.</w:t>
      </w:r>
    </w:p>
    <w:p w14:paraId="1C33BAFF" w14:textId="07998A34" w:rsidR="0031749D" w:rsidRDefault="0031749D" w:rsidP="00A329E7">
      <w:pPr>
        <w:pStyle w:val="BodyText"/>
        <w:spacing w:before="1"/>
        <w:ind w:left="118"/>
      </w:pPr>
    </w:p>
    <w:p w14:paraId="28579DE5" w14:textId="44512C17" w:rsidR="0031749D" w:rsidRDefault="0031749D" w:rsidP="00A329E7">
      <w:pPr>
        <w:pStyle w:val="BodyText"/>
        <w:spacing w:before="1"/>
        <w:ind w:left="118"/>
      </w:pPr>
    </w:p>
    <w:p w14:paraId="79153649" w14:textId="3DD076BF" w:rsidR="0031749D" w:rsidRDefault="0031749D" w:rsidP="00A329E7">
      <w:pPr>
        <w:pStyle w:val="BodyText"/>
        <w:spacing w:before="1"/>
        <w:ind w:left="118"/>
      </w:pPr>
    </w:p>
    <w:p w14:paraId="01684A58" w14:textId="18F8B3FD" w:rsidR="0031749D" w:rsidRDefault="0031749D" w:rsidP="00A329E7">
      <w:pPr>
        <w:pStyle w:val="BodyText"/>
        <w:spacing w:before="1"/>
        <w:ind w:left="118"/>
      </w:pPr>
    </w:p>
    <w:p w14:paraId="181DB639" w14:textId="46E4685C" w:rsidR="0031749D" w:rsidRDefault="0031749D" w:rsidP="00A329E7">
      <w:pPr>
        <w:pStyle w:val="BodyText"/>
        <w:spacing w:before="1"/>
        <w:ind w:left="118"/>
      </w:pPr>
    </w:p>
    <w:p w14:paraId="48F2D80C" w14:textId="74143D39" w:rsidR="0031749D" w:rsidRPr="0031749D" w:rsidRDefault="0031749D" w:rsidP="0031749D">
      <w:pPr>
        <w:pStyle w:val="Default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4. </w:t>
      </w:r>
      <w:r w:rsidRPr="0031749D">
        <w:rPr>
          <w:rFonts w:ascii="Cambria" w:hAnsi="Cambria"/>
          <w:b/>
          <w:sz w:val="36"/>
          <w:szCs w:val="36"/>
        </w:rPr>
        <w:t>Quality Assurance</w:t>
      </w:r>
    </w:p>
    <w:p w14:paraId="27571968" w14:textId="77777777" w:rsidR="0031749D" w:rsidRDefault="0031749D" w:rsidP="0031749D">
      <w:pPr>
        <w:pStyle w:val="Heading4"/>
      </w:pPr>
    </w:p>
    <w:p w14:paraId="5376647A" w14:textId="77777777" w:rsidR="0031749D" w:rsidRDefault="0031749D" w:rsidP="0031749D">
      <w:pPr>
        <w:pStyle w:val="BodyText"/>
        <w:spacing w:before="3"/>
        <w:ind w:left="118" w:right="99"/>
      </w:pPr>
      <w:proofErr w:type="spellStart"/>
      <w:r>
        <w:t>Centres</w:t>
      </w:r>
      <w:proofErr w:type="spellEnd"/>
      <w:r>
        <w:t xml:space="preserve"> offering these qualifications must provide internal quality assurance to ensure assessment meets all Awarding Body requirements and is </w:t>
      </w:r>
      <w:proofErr w:type="spellStart"/>
      <w:r>
        <w:t>standardised</w:t>
      </w:r>
      <w:proofErr w:type="spellEnd"/>
      <w:r>
        <w:t xml:space="preserve"> across individual assessors, assessment locations and learners. In addition, the Awarding Body must ensure there is a robust system of external quality assurance to ensure quality and </w:t>
      </w:r>
      <w:proofErr w:type="spellStart"/>
      <w:r>
        <w:t>standardisation</w:t>
      </w:r>
      <w:proofErr w:type="spellEnd"/>
      <w:r>
        <w:t xml:space="preserve"> across </w:t>
      </w:r>
      <w:proofErr w:type="spellStart"/>
      <w:r>
        <w:t>centres</w:t>
      </w:r>
      <w:proofErr w:type="spellEnd"/>
      <w:r>
        <w:t>.</w:t>
      </w:r>
    </w:p>
    <w:p w14:paraId="7FF970E9" w14:textId="77777777" w:rsidR="0031749D" w:rsidRDefault="0031749D" w:rsidP="0031749D">
      <w:pPr>
        <w:pStyle w:val="BodyText"/>
      </w:pPr>
    </w:p>
    <w:p w14:paraId="1F6D9D9F" w14:textId="77777777" w:rsidR="0031749D" w:rsidRDefault="0031749D" w:rsidP="0031749D">
      <w:pPr>
        <w:pStyle w:val="BodyText"/>
        <w:ind w:left="118" w:right="148"/>
      </w:pPr>
      <w:r>
        <w:t xml:space="preserve">Awarding Bodies should apply appropriate risk rating measures to individual assessment </w:t>
      </w:r>
      <w:proofErr w:type="spellStart"/>
      <w:r>
        <w:t>centres</w:t>
      </w:r>
      <w:proofErr w:type="spellEnd"/>
      <w:r>
        <w:t xml:space="preserve"> and ensure that robust quality assurance systems are in place to manage these risks on an individual basis.</w:t>
      </w:r>
    </w:p>
    <w:p w14:paraId="4B44A3B8" w14:textId="77777777" w:rsidR="0031749D" w:rsidRDefault="0031749D" w:rsidP="0031749D">
      <w:pPr>
        <w:pStyle w:val="BodyText"/>
        <w:spacing w:before="9"/>
        <w:rPr>
          <w:sz w:val="21"/>
        </w:rPr>
      </w:pPr>
    </w:p>
    <w:p w14:paraId="438463BB" w14:textId="77777777" w:rsidR="0031749D" w:rsidRDefault="0031749D" w:rsidP="00A329E7">
      <w:pPr>
        <w:pStyle w:val="BodyText"/>
        <w:spacing w:before="1"/>
        <w:ind w:left="118"/>
      </w:pPr>
    </w:p>
    <w:p w14:paraId="0E365B7A" w14:textId="33E26B94" w:rsidR="00A329E7" w:rsidRDefault="00A329E7" w:rsidP="00A329E7">
      <w:pPr>
        <w:pStyle w:val="BodyText"/>
        <w:spacing w:before="1"/>
        <w:ind w:left="118"/>
      </w:pPr>
    </w:p>
    <w:p w14:paraId="7F59641F" w14:textId="77777777" w:rsidR="006E6B19" w:rsidRPr="006E6B19" w:rsidRDefault="006E6B19" w:rsidP="006E6B19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23630215" w14:textId="77777777" w:rsidR="00854C37" w:rsidRDefault="00854C37" w:rsidP="00294E68">
      <w:pPr>
        <w:pStyle w:val="Default"/>
        <w:rPr>
          <w:rFonts w:asciiTheme="majorHAnsi" w:hAnsiTheme="majorHAnsi"/>
          <w:b/>
        </w:rPr>
      </w:pPr>
    </w:p>
    <w:p w14:paraId="2853AD2E" w14:textId="77777777" w:rsidR="00053855" w:rsidRDefault="00053855" w:rsidP="00294E68">
      <w:pPr>
        <w:pStyle w:val="Default"/>
        <w:rPr>
          <w:rFonts w:asciiTheme="majorHAnsi" w:hAnsiTheme="majorHAnsi"/>
          <w:b/>
        </w:rPr>
      </w:pPr>
    </w:p>
    <w:p w14:paraId="1AB5E992" w14:textId="77777777" w:rsidR="0009106C" w:rsidRDefault="0009106C" w:rsidP="00294E68">
      <w:pPr>
        <w:pStyle w:val="Default"/>
        <w:rPr>
          <w:rFonts w:asciiTheme="majorHAnsi" w:hAnsiTheme="majorHAnsi"/>
          <w:b/>
        </w:rPr>
      </w:pPr>
    </w:p>
    <w:p w14:paraId="4FCE3851" w14:textId="77777777" w:rsidR="0009106C" w:rsidRDefault="0009106C" w:rsidP="00294E68">
      <w:pPr>
        <w:pStyle w:val="Default"/>
        <w:rPr>
          <w:rFonts w:asciiTheme="majorHAnsi" w:hAnsiTheme="majorHAnsi"/>
          <w:b/>
        </w:rPr>
      </w:pPr>
    </w:p>
    <w:p w14:paraId="355350B2" w14:textId="77777777" w:rsidR="00C31EC1" w:rsidRPr="0009106C" w:rsidRDefault="00966B06" w:rsidP="00294E68">
      <w:pPr>
        <w:pStyle w:val="Defaul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6. </w:t>
      </w:r>
      <w:r w:rsidR="00A00BAD">
        <w:rPr>
          <w:rFonts w:asciiTheme="majorHAnsi" w:hAnsiTheme="majorHAnsi"/>
          <w:b/>
          <w:sz w:val="36"/>
          <w:szCs w:val="36"/>
        </w:rPr>
        <w:t>References</w:t>
      </w:r>
    </w:p>
    <w:p w14:paraId="584B8B43" w14:textId="77777777" w:rsidR="00C31EC1" w:rsidRDefault="00C31EC1" w:rsidP="00294E68">
      <w:pPr>
        <w:pStyle w:val="Default"/>
        <w:rPr>
          <w:rFonts w:asciiTheme="majorHAnsi" w:hAnsiTheme="majorHAnsi"/>
          <w:b/>
        </w:rPr>
      </w:pPr>
    </w:p>
    <w:p w14:paraId="652A77EF" w14:textId="77777777" w:rsidR="00C31EC1" w:rsidRDefault="00C31EC1" w:rsidP="00294E68">
      <w:pPr>
        <w:pStyle w:val="Default"/>
      </w:pPr>
      <w:r w:rsidRPr="00BA749A">
        <w:rPr>
          <w:rFonts w:asciiTheme="majorHAnsi" w:eastAsiaTheme="majorEastAsia" w:hAnsiTheme="majorHAnsi" w:cstheme="majorBidi"/>
          <w:b/>
          <w:vertAlign w:val="superscript"/>
        </w:rPr>
        <w:t>1</w:t>
      </w:r>
      <w:r>
        <w:rPr>
          <w:rFonts w:asciiTheme="majorHAnsi" w:eastAsiaTheme="majorEastAsia" w:hAnsiTheme="majorHAnsi" w:cstheme="majorBidi"/>
        </w:rPr>
        <w:t xml:space="preserve"> </w:t>
      </w:r>
      <w:r w:rsidRPr="00BA749A">
        <w:rPr>
          <w:rFonts w:asciiTheme="majorHAnsi" w:eastAsiaTheme="majorEastAsia" w:hAnsiTheme="majorHAnsi" w:cstheme="majorBidi"/>
          <w:i/>
        </w:rPr>
        <w:t>Systems and Approval Guide (SQA) Pub code: BA6757</w:t>
      </w:r>
      <w:r>
        <w:rPr>
          <w:rFonts w:asciiTheme="majorHAnsi" w:eastAsiaTheme="majorEastAsia" w:hAnsiTheme="majorHAnsi" w:cstheme="majorBidi"/>
          <w:i/>
        </w:rPr>
        <w:t xml:space="preserve"> </w:t>
      </w:r>
    </w:p>
    <w:p w14:paraId="2947E990" w14:textId="77777777" w:rsidR="0065325A" w:rsidRPr="00C31EC1" w:rsidRDefault="00532595" w:rsidP="00294E68">
      <w:pPr>
        <w:pStyle w:val="Default"/>
        <w:rPr>
          <w:rFonts w:asciiTheme="majorHAnsi" w:hAnsiTheme="majorHAnsi"/>
          <w:b/>
        </w:rPr>
      </w:pPr>
      <w:hyperlink r:id="rId16" w:history="1">
        <w:r w:rsidR="0065325A">
          <w:rPr>
            <w:rStyle w:val="Hyperlink"/>
          </w:rPr>
          <w:t>https://www.sqa.org.uk/files_ccc/Systems_and_Qualification_Approval_Guide.pdf</w:t>
        </w:r>
      </w:hyperlink>
      <w:r w:rsidR="0065325A">
        <w:t xml:space="preserve"> </w:t>
      </w:r>
    </w:p>
    <w:sectPr w:rsidR="0065325A" w:rsidRPr="00C31EC1" w:rsidSect="00896712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398A" w14:textId="77777777" w:rsidR="00532595" w:rsidRDefault="00532595" w:rsidP="00896712">
      <w:pPr>
        <w:spacing w:after="0" w:line="240" w:lineRule="auto"/>
      </w:pPr>
      <w:r>
        <w:separator/>
      </w:r>
    </w:p>
  </w:endnote>
  <w:endnote w:type="continuationSeparator" w:id="0">
    <w:p w14:paraId="18581BB6" w14:textId="77777777" w:rsidR="00532595" w:rsidRDefault="00532595" w:rsidP="0089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38DE7" w14:textId="77777777" w:rsidR="00532595" w:rsidRDefault="00532595" w:rsidP="00896712">
      <w:pPr>
        <w:spacing w:after="0" w:line="240" w:lineRule="auto"/>
      </w:pPr>
      <w:r>
        <w:separator/>
      </w:r>
    </w:p>
  </w:footnote>
  <w:footnote w:type="continuationSeparator" w:id="0">
    <w:p w14:paraId="0F40F572" w14:textId="77777777" w:rsidR="00532595" w:rsidRDefault="00532595" w:rsidP="0089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5E8"/>
    <w:multiLevelType w:val="hybridMultilevel"/>
    <w:tmpl w:val="7C6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540E"/>
    <w:multiLevelType w:val="hybridMultilevel"/>
    <w:tmpl w:val="ACB05D3E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F62"/>
    <w:multiLevelType w:val="hybridMultilevel"/>
    <w:tmpl w:val="5D7494E0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2347"/>
    <w:multiLevelType w:val="hybridMultilevel"/>
    <w:tmpl w:val="545CC5B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6B2B"/>
    <w:multiLevelType w:val="hybridMultilevel"/>
    <w:tmpl w:val="E1C6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0E03"/>
    <w:multiLevelType w:val="hybridMultilevel"/>
    <w:tmpl w:val="26AE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867AE"/>
    <w:multiLevelType w:val="hybridMultilevel"/>
    <w:tmpl w:val="A5B82620"/>
    <w:lvl w:ilvl="0" w:tplc="1CB24A28">
      <w:numFmt w:val="bullet"/>
      <w:lvlText w:val="o"/>
      <w:lvlJc w:val="left"/>
      <w:pPr>
        <w:ind w:left="1378" w:hanging="54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6E8A3012">
      <w:numFmt w:val="bullet"/>
      <w:lvlText w:val="•"/>
      <w:lvlJc w:val="left"/>
      <w:pPr>
        <w:ind w:left="2100" w:hanging="540"/>
      </w:pPr>
      <w:rPr>
        <w:rFonts w:hint="default"/>
      </w:rPr>
    </w:lvl>
    <w:lvl w:ilvl="2" w:tplc="9E44091C">
      <w:numFmt w:val="bullet"/>
      <w:lvlText w:val="•"/>
      <w:lvlJc w:val="left"/>
      <w:pPr>
        <w:ind w:left="2821" w:hanging="540"/>
      </w:pPr>
      <w:rPr>
        <w:rFonts w:hint="default"/>
      </w:rPr>
    </w:lvl>
    <w:lvl w:ilvl="3" w:tplc="B1F23DEA">
      <w:numFmt w:val="bullet"/>
      <w:lvlText w:val="•"/>
      <w:lvlJc w:val="left"/>
      <w:pPr>
        <w:ind w:left="3541" w:hanging="540"/>
      </w:pPr>
      <w:rPr>
        <w:rFonts w:hint="default"/>
      </w:rPr>
    </w:lvl>
    <w:lvl w:ilvl="4" w:tplc="902C553A">
      <w:numFmt w:val="bullet"/>
      <w:lvlText w:val="•"/>
      <w:lvlJc w:val="left"/>
      <w:pPr>
        <w:ind w:left="4262" w:hanging="540"/>
      </w:pPr>
      <w:rPr>
        <w:rFonts w:hint="default"/>
      </w:rPr>
    </w:lvl>
    <w:lvl w:ilvl="5" w:tplc="29088FE6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096CCDBE">
      <w:numFmt w:val="bullet"/>
      <w:lvlText w:val="•"/>
      <w:lvlJc w:val="left"/>
      <w:pPr>
        <w:ind w:left="5703" w:hanging="540"/>
      </w:pPr>
      <w:rPr>
        <w:rFonts w:hint="default"/>
      </w:rPr>
    </w:lvl>
    <w:lvl w:ilvl="7" w:tplc="7C10CF54">
      <w:numFmt w:val="bullet"/>
      <w:lvlText w:val="•"/>
      <w:lvlJc w:val="left"/>
      <w:pPr>
        <w:ind w:left="6424" w:hanging="540"/>
      </w:pPr>
      <w:rPr>
        <w:rFonts w:hint="default"/>
      </w:rPr>
    </w:lvl>
    <w:lvl w:ilvl="8" w:tplc="60168C00">
      <w:numFmt w:val="bullet"/>
      <w:lvlText w:val="•"/>
      <w:lvlJc w:val="left"/>
      <w:pPr>
        <w:ind w:left="7145" w:hanging="540"/>
      </w:pPr>
      <w:rPr>
        <w:rFonts w:hint="default"/>
      </w:rPr>
    </w:lvl>
  </w:abstractNum>
  <w:abstractNum w:abstractNumId="7" w15:restartNumberingAfterBreak="0">
    <w:nsid w:val="5E233584"/>
    <w:multiLevelType w:val="hybridMultilevel"/>
    <w:tmpl w:val="2992511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BDC"/>
    <w:multiLevelType w:val="hybridMultilevel"/>
    <w:tmpl w:val="61741458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11994"/>
    <w:multiLevelType w:val="hybridMultilevel"/>
    <w:tmpl w:val="045E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CA1"/>
    <w:multiLevelType w:val="hybridMultilevel"/>
    <w:tmpl w:val="921A7F26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E2"/>
    <w:rsid w:val="000116F3"/>
    <w:rsid w:val="000225C5"/>
    <w:rsid w:val="000240C4"/>
    <w:rsid w:val="00040617"/>
    <w:rsid w:val="0005009D"/>
    <w:rsid w:val="00053855"/>
    <w:rsid w:val="00053EBD"/>
    <w:rsid w:val="0009106C"/>
    <w:rsid w:val="000A5CBA"/>
    <w:rsid w:val="000B7232"/>
    <w:rsid w:val="00121C25"/>
    <w:rsid w:val="00131697"/>
    <w:rsid w:val="001631E0"/>
    <w:rsid w:val="00182635"/>
    <w:rsid w:val="001A5DFC"/>
    <w:rsid w:val="001B2660"/>
    <w:rsid w:val="001B36A2"/>
    <w:rsid w:val="001D7BF5"/>
    <w:rsid w:val="001E1D8B"/>
    <w:rsid w:val="001F4190"/>
    <w:rsid w:val="002255EE"/>
    <w:rsid w:val="002315DB"/>
    <w:rsid w:val="002360A2"/>
    <w:rsid w:val="00241A8C"/>
    <w:rsid w:val="00243BF6"/>
    <w:rsid w:val="002444DC"/>
    <w:rsid w:val="00270E8C"/>
    <w:rsid w:val="00273C87"/>
    <w:rsid w:val="00276AE2"/>
    <w:rsid w:val="00294E68"/>
    <w:rsid w:val="002B307C"/>
    <w:rsid w:val="002B6467"/>
    <w:rsid w:val="002D5043"/>
    <w:rsid w:val="002F5A31"/>
    <w:rsid w:val="00311475"/>
    <w:rsid w:val="0031749D"/>
    <w:rsid w:val="00357E34"/>
    <w:rsid w:val="00380204"/>
    <w:rsid w:val="00380C2D"/>
    <w:rsid w:val="003859D5"/>
    <w:rsid w:val="003A7599"/>
    <w:rsid w:val="003C5567"/>
    <w:rsid w:val="003D3FDD"/>
    <w:rsid w:val="004121BF"/>
    <w:rsid w:val="00426413"/>
    <w:rsid w:val="00480BF7"/>
    <w:rsid w:val="0048771B"/>
    <w:rsid w:val="004D571F"/>
    <w:rsid w:val="00504287"/>
    <w:rsid w:val="0053244F"/>
    <w:rsid w:val="00532595"/>
    <w:rsid w:val="0055045A"/>
    <w:rsid w:val="005C3000"/>
    <w:rsid w:val="005E0640"/>
    <w:rsid w:val="0065325A"/>
    <w:rsid w:val="006E6B19"/>
    <w:rsid w:val="00734815"/>
    <w:rsid w:val="00742F95"/>
    <w:rsid w:val="007477CE"/>
    <w:rsid w:val="007610A3"/>
    <w:rsid w:val="0078266D"/>
    <w:rsid w:val="007A3826"/>
    <w:rsid w:val="007C0855"/>
    <w:rsid w:val="007D50CD"/>
    <w:rsid w:val="008110BC"/>
    <w:rsid w:val="008323C0"/>
    <w:rsid w:val="00854C37"/>
    <w:rsid w:val="00876F7A"/>
    <w:rsid w:val="00896712"/>
    <w:rsid w:val="008D290A"/>
    <w:rsid w:val="00912DDA"/>
    <w:rsid w:val="00944677"/>
    <w:rsid w:val="00956F3A"/>
    <w:rsid w:val="00957F08"/>
    <w:rsid w:val="00966B06"/>
    <w:rsid w:val="0098561F"/>
    <w:rsid w:val="009C74D0"/>
    <w:rsid w:val="009D6E45"/>
    <w:rsid w:val="00A00BAD"/>
    <w:rsid w:val="00A329E7"/>
    <w:rsid w:val="00A458F5"/>
    <w:rsid w:val="00A46DF5"/>
    <w:rsid w:val="00AB3008"/>
    <w:rsid w:val="00AB5661"/>
    <w:rsid w:val="00AB77D7"/>
    <w:rsid w:val="00AC089C"/>
    <w:rsid w:val="00AF5FFD"/>
    <w:rsid w:val="00B108ED"/>
    <w:rsid w:val="00B16C63"/>
    <w:rsid w:val="00B21BA4"/>
    <w:rsid w:val="00B24865"/>
    <w:rsid w:val="00B658D4"/>
    <w:rsid w:val="00B67A2A"/>
    <w:rsid w:val="00BA749A"/>
    <w:rsid w:val="00BB59C3"/>
    <w:rsid w:val="00BD7DC4"/>
    <w:rsid w:val="00BE118E"/>
    <w:rsid w:val="00BF08EB"/>
    <w:rsid w:val="00BF563E"/>
    <w:rsid w:val="00C31EC1"/>
    <w:rsid w:val="00C349A6"/>
    <w:rsid w:val="00C65C0B"/>
    <w:rsid w:val="00C974B2"/>
    <w:rsid w:val="00CF6CD2"/>
    <w:rsid w:val="00D12920"/>
    <w:rsid w:val="00D12994"/>
    <w:rsid w:val="00D16CC0"/>
    <w:rsid w:val="00DA1340"/>
    <w:rsid w:val="00DB40E4"/>
    <w:rsid w:val="00DC01C3"/>
    <w:rsid w:val="00EA6DC4"/>
    <w:rsid w:val="00EB4A5E"/>
    <w:rsid w:val="00EB7244"/>
    <w:rsid w:val="00F0136C"/>
    <w:rsid w:val="00F746DD"/>
    <w:rsid w:val="00F83B35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85D3"/>
  <w15:docId w15:val="{81150D53-B883-4575-B571-69FB79D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F83B35"/>
    <w:pPr>
      <w:widowControl w:val="0"/>
      <w:autoSpaceDE w:val="0"/>
      <w:autoSpaceDN w:val="0"/>
      <w:spacing w:after="0" w:line="240" w:lineRule="auto"/>
      <w:ind w:left="118"/>
      <w:outlineLvl w:val="3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12"/>
  </w:style>
  <w:style w:type="paragraph" w:styleId="Footer">
    <w:name w:val="footer"/>
    <w:basedOn w:val="Normal"/>
    <w:link w:val="Foot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12"/>
  </w:style>
  <w:style w:type="paragraph" w:styleId="NoSpacing">
    <w:name w:val="No Spacing"/>
    <w:link w:val="NoSpacingChar"/>
    <w:uiPriority w:val="1"/>
    <w:qFormat/>
    <w:rsid w:val="0089671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71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1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47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C3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F83B35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83B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83B35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B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qa.org.uk/files_ccc/Systems_and_Qualification_Approval_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4F4884BF66F4196FA87339B82E233" ma:contentTypeVersion="12" ma:contentTypeDescription="Create a new document." ma:contentTypeScope="" ma:versionID="793420279398bdd4649937be4511296d">
  <xsd:schema xmlns:xsd="http://www.w3.org/2001/XMLSchema" xmlns:xs="http://www.w3.org/2001/XMLSchema" xmlns:p="http://schemas.microsoft.com/office/2006/metadata/properties" xmlns:ns3="d6ea91f5-3a30-4d6e-b3f5-0889524ecde9" xmlns:ns4="c8b0314d-3b68-4470-96f3-a712d85618dd" targetNamespace="http://schemas.microsoft.com/office/2006/metadata/properties" ma:root="true" ma:fieldsID="c2d1a6db068b340ed55236e715f2f291" ns3:_="" ns4:_="">
    <xsd:import namespace="d6ea91f5-3a30-4d6e-b3f5-0889524ecde9"/>
    <xsd:import namespace="c8b0314d-3b68-4470-96f3-a712d8561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a91f5-3a30-4d6e-b3f5-0889524ec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0314d-3b68-4470-96f3-a712d8561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C07F67-844D-4F78-A8E2-6BA7D8E97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a91f5-3a30-4d6e-b3f5-0889524ecde9"/>
    <ds:schemaRef ds:uri="c8b0314d-3b68-4470-96f3-a712d8561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C0749-19F4-4D71-93F5-D37FFAE7E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95A7A-C5A8-4D15-A6B0-5310A6EBAB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Strategy</vt:lpstr>
    </vt:vector>
  </TitlesOfParts>
  <Company>SQA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Strategy</dc:title>
  <dc:subject>Diploma in Learning and Development</dc:subject>
  <dc:creator/>
  <cp:lastModifiedBy>Anne Macleod</cp:lastModifiedBy>
  <cp:revision>3</cp:revision>
  <cp:lastPrinted>2019-11-28T12:32:00Z</cp:lastPrinted>
  <dcterms:created xsi:type="dcterms:W3CDTF">2020-04-28T10:55:00Z</dcterms:created>
  <dcterms:modified xsi:type="dcterms:W3CDTF">2020-04-28T10:56:00Z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0x01010059F4F4884BF66F4196FA87339B82E233</vt:lpwstr>
  </property>
</Properties>
</file>