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DD" w:rsidRDefault="003D49DD" w:rsidP="002B6DA5">
      <w:pPr>
        <w:pStyle w:val="Heading3"/>
        <w:rPr>
          <w:noProof/>
        </w:rPr>
      </w:pPr>
      <w:bookmarkStart w:id="0" w:name="_GoBack"/>
      <w:bookmarkEnd w:id="0"/>
    </w:p>
    <w:p w:rsidR="003D49DD" w:rsidRPr="00F77C66" w:rsidRDefault="003D49DD" w:rsidP="003D49DD">
      <w:pPr>
        <w:rPr>
          <w:rFonts w:cs="Arial"/>
        </w:rPr>
      </w:pPr>
    </w:p>
    <w:p w:rsidR="003D49DD" w:rsidRPr="00F77C66" w:rsidRDefault="002A22F9" w:rsidP="003D49DD">
      <w:pPr>
        <w:rPr>
          <w:rFonts w:cs="Arial"/>
        </w:rPr>
      </w:pPr>
      <w:r>
        <w:rPr>
          <w:noProof/>
        </w:rPr>
        <w:drawing>
          <wp:anchor distT="0" distB="0" distL="114300" distR="114300" simplePos="0" relativeHeight="251657728" behindDoc="1" locked="0" layoutInCell="1" allowOverlap="1">
            <wp:simplePos x="0" y="0"/>
            <wp:positionH relativeFrom="margin">
              <wp:posOffset>4681855</wp:posOffset>
            </wp:positionH>
            <wp:positionV relativeFrom="margin">
              <wp:posOffset>-416560</wp:posOffset>
            </wp:positionV>
            <wp:extent cx="1967865" cy="763270"/>
            <wp:effectExtent l="0" t="0" r="0" b="0"/>
            <wp:wrapNone/>
            <wp:docPr id="3"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QA-21054 Shell A4 Ppaer_JC"/>
                    <pic:cNvPicPr>
                      <a:picLocks noChangeAspect="1" noChangeArrowheads="1"/>
                    </pic:cNvPicPr>
                  </pic:nvPicPr>
                  <pic:blipFill>
                    <a:blip r:embed="rId8">
                      <a:extLst>
                        <a:ext uri="{28A0092B-C50C-407E-A947-70E740481C1C}">
                          <a14:useLocalDpi xmlns:a14="http://schemas.microsoft.com/office/drawing/2010/main" val="0"/>
                        </a:ext>
                      </a:extLst>
                    </a:blip>
                    <a:srcRect l="73523" t="2560" r="644" b="88942"/>
                    <a:stretch>
                      <a:fillRect/>
                    </a:stretch>
                  </pic:blipFill>
                  <pic:spPr bwMode="auto">
                    <a:xfrm>
                      <a:off x="0" y="0"/>
                      <a:ext cx="1967865" cy="7632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49DD" w:rsidRPr="00F77C66" w:rsidRDefault="003D49DD" w:rsidP="003D49DD">
      <w:pPr>
        <w:rPr>
          <w:rFonts w:cs="Arial"/>
        </w:rPr>
      </w:pPr>
    </w:p>
    <w:p w:rsidR="003D49DD" w:rsidRPr="00F77C66" w:rsidRDefault="003D49DD" w:rsidP="003D49DD">
      <w:pPr>
        <w:rPr>
          <w:rFonts w:cs="Arial"/>
        </w:rPr>
      </w:pPr>
    </w:p>
    <w:p w:rsidR="003D49DD" w:rsidRPr="00F77C66" w:rsidRDefault="003D49DD" w:rsidP="003D49DD">
      <w:pPr>
        <w:rPr>
          <w:rFonts w:cs="Arial"/>
        </w:rPr>
      </w:pPr>
    </w:p>
    <w:p w:rsidR="003D49DD" w:rsidRPr="00F77C66" w:rsidRDefault="003D49DD" w:rsidP="003D49DD">
      <w:pPr>
        <w:rPr>
          <w:rFonts w:cs="Arial"/>
        </w:rPr>
      </w:pPr>
    </w:p>
    <w:p w:rsidR="003D49DD" w:rsidRPr="00F77C66" w:rsidRDefault="003D49DD" w:rsidP="003D49DD">
      <w:pPr>
        <w:rPr>
          <w:rFonts w:cs="Arial"/>
        </w:rPr>
      </w:pPr>
    </w:p>
    <w:p w:rsidR="003D49DD" w:rsidRPr="00F77C66" w:rsidRDefault="003D49DD" w:rsidP="003D49DD">
      <w:pPr>
        <w:rPr>
          <w:rFonts w:cs="Arial"/>
        </w:rPr>
      </w:pPr>
    </w:p>
    <w:p w:rsidR="003D49DD" w:rsidRPr="00F77C66" w:rsidRDefault="003D49DD" w:rsidP="003D49D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3D49DD" w:rsidRPr="00F77C66" w:rsidTr="00BE7EC5">
        <w:tc>
          <w:tcPr>
            <w:tcW w:w="4621" w:type="dxa"/>
            <w:tcBorders>
              <w:top w:val="nil"/>
              <w:left w:val="nil"/>
              <w:bottom w:val="nil"/>
              <w:right w:val="nil"/>
            </w:tcBorders>
            <w:shd w:val="clear" w:color="auto" w:fill="auto"/>
          </w:tcPr>
          <w:p w:rsidR="003D49DD" w:rsidRPr="00BE7EC5" w:rsidRDefault="003D49DD" w:rsidP="00BE7EC5">
            <w:pPr>
              <w:rPr>
                <w:rFonts w:cs="Arial"/>
                <w:b/>
                <w:sz w:val="32"/>
                <w:lang w:eastAsia="en-US"/>
              </w:rPr>
            </w:pPr>
            <w:r w:rsidRPr="00BE7EC5">
              <w:rPr>
                <w:rFonts w:cs="Arial"/>
                <w:b/>
                <w:sz w:val="32"/>
                <w:lang w:eastAsia="en-US"/>
              </w:rPr>
              <w:t>Assessment Strategy</w:t>
            </w:r>
          </w:p>
        </w:tc>
        <w:tc>
          <w:tcPr>
            <w:tcW w:w="4621" w:type="dxa"/>
            <w:tcBorders>
              <w:top w:val="nil"/>
              <w:left w:val="nil"/>
              <w:bottom w:val="nil"/>
              <w:right w:val="nil"/>
            </w:tcBorders>
            <w:shd w:val="clear" w:color="auto" w:fill="auto"/>
          </w:tcPr>
          <w:p w:rsidR="003D49DD" w:rsidRPr="00BE7EC5" w:rsidRDefault="003D49DD" w:rsidP="00BE7EC5">
            <w:pPr>
              <w:rPr>
                <w:rFonts w:cs="Arial"/>
              </w:rPr>
            </w:pPr>
          </w:p>
        </w:tc>
      </w:tr>
      <w:tr w:rsidR="003D49DD" w:rsidRPr="00F77C66" w:rsidTr="00BE7EC5">
        <w:tc>
          <w:tcPr>
            <w:tcW w:w="4621" w:type="dxa"/>
            <w:tcBorders>
              <w:top w:val="nil"/>
              <w:left w:val="nil"/>
              <w:bottom w:val="nil"/>
              <w:right w:val="nil"/>
            </w:tcBorders>
            <w:shd w:val="clear" w:color="auto" w:fill="auto"/>
          </w:tcPr>
          <w:p w:rsidR="003D49DD" w:rsidRPr="00BE7EC5" w:rsidRDefault="003D49DD" w:rsidP="00BE7EC5">
            <w:pPr>
              <w:rPr>
                <w:rFonts w:cs="Arial"/>
                <w:b/>
                <w:sz w:val="32"/>
                <w:lang w:eastAsia="en-US"/>
              </w:rPr>
            </w:pPr>
            <w:r w:rsidRPr="00BE7EC5">
              <w:rPr>
                <w:rFonts w:cs="Arial"/>
                <w:b/>
                <w:sz w:val="32"/>
                <w:lang w:eastAsia="en-US"/>
              </w:rPr>
              <w:t>Sector</w:t>
            </w:r>
          </w:p>
        </w:tc>
        <w:tc>
          <w:tcPr>
            <w:tcW w:w="4621" w:type="dxa"/>
            <w:tcBorders>
              <w:top w:val="nil"/>
              <w:left w:val="nil"/>
              <w:bottom w:val="nil"/>
              <w:right w:val="nil"/>
            </w:tcBorders>
            <w:shd w:val="clear" w:color="auto" w:fill="auto"/>
          </w:tcPr>
          <w:p w:rsidR="003D49DD" w:rsidRPr="00BE7EC5" w:rsidRDefault="003D49DD" w:rsidP="00BE7EC5">
            <w:pPr>
              <w:rPr>
                <w:rFonts w:cs="Arial"/>
              </w:rPr>
            </w:pPr>
            <w:r w:rsidRPr="00BE7EC5">
              <w:rPr>
                <w:rFonts w:cs="Arial"/>
              </w:rPr>
              <w:t>Financial</w:t>
            </w:r>
          </w:p>
        </w:tc>
      </w:tr>
      <w:tr w:rsidR="003D49DD" w:rsidRPr="00F77C66" w:rsidTr="00BE7EC5">
        <w:tc>
          <w:tcPr>
            <w:tcW w:w="4621" w:type="dxa"/>
            <w:tcBorders>
              <w:top w:val="nil"/>
              <w:left w:val="nil"/>
              <w:bottom w:val="nil"/>
              <w:right w:val="nil"/>
            </w:tcBorders>
            <w:shd w:val="clear" w:color="auto" w:fill="auto"/>
          </w:tcPr>
          <w:p w:rsidR="003D49DD" w:rsidRPr="00BE7EC5" w:rsidRDefault="003D49DD" w:rsidP="00BE7EC5">
            <w:pPr>
              <w:rPr>
                <w:rFonts w:cs="Arial"/>
                <w:b/>
                <w:sz w:val="32"/>
                <w:lang w:eastAsia="en-US"/>
              </w:rPr>
            </w:pPr>
            <w:r w:rsidRPr="00BE7EC5">
              <w:rPr>
                <w:rFonts w:cs="Arial"/>
                <w:b/>
                <w:sz w:val="32"/>
                <w:lang w:eastAsia="en-US"/>
              </w:rPr>
              <w:t>Qualification Title(s)</w:t>
            </w:r>
          </w:p>
        </w:tc>
        <w:tc>
          <w:tcPr>
            <w:tcW w:w="4621" w:type="dxa"/>
            <w:tcBorders>
              <w:top w:val="nil"/>
              <w:left w:val="nil"/>
              <w:bottom w:val="nil"/>
              <w:right w:val="nil"/>
            </w:tcBorders>
            <w:shd w:val="clear" w:color="auto" w:fill="auto"/>
          </w:tcPr>
          <w:p w:rsidR="003D49DD" w:rsidRPr="00BE7EC5" w:rsidRDefault="003D49DD" w:rsidP="003D49DD">
            <w:pPr>
              <w:rPr>
                <w:rFonts w:cs="Arial"/>
                <w:b/>
                <w:bCs/>
                <w:color w:val="000000"/>
                <w:sz w:val="22"/>
                <w:szCs w:val="22"/>
                <w:lang w:val="en-US"/>
              </w:rPr>
            </w:pPr>
            <w:r w:rsidRPr="00BE7EC5">
              <w:rPr>
                <w:rFonts w:cs="Arial"/>
                <w:b/>
                <w:bCs/>
                <w:color w:val="000000"/>
                <w:sz w:val="22"/>
                <w:szCs w:val="22"/>
                <w:lang w:val="en-US"/>
              </w:rPr>
              <w:t>SVQ Providing Financial Services at SCQF Level 5</w:t>
            </w:r>
          </w:p>
          <w:p w:rsidR="003D49DD" w:rsidRPr="00BE7EC5" w:rsidRDefault="003D49DD" w:rsidP="003D49DD">
            <w:pPr>
              <w:rPr>
                <w:rFonts w:cs="Arial"/>
                <w:b/>
                <w:bCs/>
                <w:color w:val="000000"/>
                <w:sz w:val="22"/>
                <w:szCs w:val="22"/>
                <w:lang w:val="en-US"/>
              </w:rPr>
            </w:pPr>
            <w:r w:rsidRPr="00BE7EC5">
              <w:rPr>
                <w:rFonts w:cs="Arial"/>
                <w:b/>
                <w:bCs/>
                <w:color w:val="000000"/>
                <w:sz w:val="22"/>
                <w:szCs w:val="22"/>
                <w:lang w:val="en-US"/>
              </w:rPr>
              <w:t>SVQ Providing Financial Services at SCQF Level 6</w:t>
            </w:r>
          </w:p>
          <w:p w:rsidR="003D49DD" w:rsidRPr="00BE7EC5" w:rsidRDefault="003D49DD" w:rsidP="003D49DD">
            <w:pPr>
              <w:rPr>
                <w:rFonts w:cs="Arial"/>
                <w:b/>
                <w:bCs/>
                <w:color w:val="000000"/>
                <w:sz w:val="22"/>
                <w:szCs w:val="22"/>
                <w:lang w:val="en-US"/>
              </w:rPr>
            </w:pPr>
          </w:p>
          <w:p w:rsidR="003D49DD" w:rsidRPr="00BE7EC5" w:rsidRDefault="003D49DD" w:rsidP="00BE7EC5">
            <w:pPr>
              <w:rPr>
                <w:rFonts w:cs="Arial"/>
              </w:rPr>
            </w:pPr>
          </w:p>
        </w:tc>
      </w:tr>
      <w:tr w:rsidR="003D49DD" w:rsidRPr="00F77C66" w:rsidTr="00BE7EC5">
        <w:tc>
          <w:tcPr>
            <w:tcW w:w="4621" w:type="dxa"/>
            <w:tcBorders>
              <w:top w:val="nil"/>
              <w:left w:val="nil"/>
              <w:bottom w:val="nil"/>
              <w:right w:val="nil"/>
            </w:tcBorders>
            <w:shd w:val="clear" w:color="auto" w:fill="auto"/>
          </w:tcPr>
          <w:p w:rsidR="003D49DD" w:rsidRPr="00BE7EC5" w:rsidRDefault="003D49DD" w:rsidP="00BE7EC5">
            <w:pPr>
              <w:rPr>
                <w:rFonts w:cs="Arial"/>
                <w:b/>
                <w:sz w:val="32"/>
                <w:lang w:eastAsia="en-US"/>
              </w:rPr>
            </w:pPr>
            <w:r w:rsidRPr="00BE7EC5">
              <w:rPr>
                <w:rFonts w:cs="Arial"/>
                <w:b/>
                <w:sz w:val="32"/>
                <w:lang w:eastAsia="en-US"/>
              </w:rPr>
              <w:t>Developed by</w:t>
            </w:r>
          </w:p>
        </w:tc>
        <w:tc>
          <w:tcPr>
            <w:tcW w:w="4621" w:type="dxa"/>
            <w:tcBorders>
              <w:top w:val="nil"/>
              <w:left w:val="nil"/>
              <w:bottom w:val="nil"/>
              <w:right w:val="nil"/>
            </w:tcBorders>
            <w:shd w:val="clear" w:color="auto" w:fill="auto"/>
          </w:tcPr>
          <w:p w:rsidR="003D49DD" w:rsidRPr="00BE7EC5" w:rsidRDefault="003D49DD" w:rsidP="00BE7EC5">
            <w:pPr>
              <w:rPr>
                <w:rFonts w:cs="Arial"/>
              </w:rPr>
            </w:pPr>
            <w:r w:rsidRPr="00BE7EC5">
              <w:rPr>
                <w:rFonts w:cs="Arial"/>
              </w:rPr>
              <w:t>Skills for Health and Justice</w:t>
            </w:r>
          </w:p>
        </w:tc>
      </w:tr>
      <w:tr w:rsidR="003D49DD" w:rsidRPr="00F77C66" w:rsidTr="00BE7EC5">
        <w:tc>
          <w:tcPr>
            <w:tcW w:w="4621" w:type="dxa"/>
            <w:tcBorders>
              <w:top w:val="nil"/>
              <w:left w:val="nil"/>
              <w:bottom w:val="nil"/>
              <w:right w:val="nil"/>
            </w:tcBorders>
            <w:shd w:val="clear" w:color="auto" w:fill="auto"/>
          </w:tcPr>
          <w:p w:rsidR="003D49DD" w:rsidRPr="00BE7EC5" w:rsidRDefault="003D49DD" w:rsidP="00BE7EC5">
            <w:pPr>
              <w:rPr>
                <w:rFonts w:cs="Arial"/>
                <w:b/>
                <w:sz w:val="32"/>
                <w:lang w:eastAsia="en-US"/>
              </w:rPr>
            </w:pPr>
            <w:r w:rsidRPr="00BE7EC5">
              <w:rPr>
                <w:rFonts w:cs="Arial"/>
                <w:b/>
                <w:sz w:val="32"/>
                <w:lang w:eastAsia="en-US"/>
              </w:rPr>
              <w:t>Approved by ACG</w:t>
            </w:r>
          </w:p>
        </w:tc>
        <w:tc>
          <w:tcPr>
            <w:tcW w:w="4621" w:type="dxa"/>
            <w:tcBorders>
              <w:top w:val="nil"/>
              <w:left w:val="nil"/>
              <w:bottom w:val="nil"/>
              <w:right w:val="nil"/>
            </w:tcBorders>
            <w:shd w:val="clear" w:color="auto" w:fill="auto"/>
          </w:tcPr>
          <w:p w:rsidR="003D49DD" w:rsidRPr="00BE7EC5" w:rsidRDefault="003D49DD" w:rsidP="00BE7EC5">
            <w:pPr>
              <w:rPr>
                <w:rFonts w:cs="Arial"/>
              </w:rPr>
            </w:pPr>
            <w:r w:rsidRPr="00BE7EC5">
              <w:rPr>
                <w:rFonts w:cs="Arial"/>
              </w:rPr>
              <w:t>6 June 2018</w:t>
            </w:r>
          </w:p>
        </w:tc>
      </w:tr>
      <w:tr w:rsidR="003D49DD" w:rsidRPr="00F77C66" w:rsidTr="00BE7EC5">
        <w:trPr>
          <w:trHeight w:val="160"/>
        </w:trPr>
        <w:tc>
          <w:tcPr>
            <w:tcW w:w="4621" w:type="dxa"/>
            <w:tcBorders>
              <w:top w:val="nil"/>
              <w:left w:val="nil"/>
              <w:bottom w:val="nil"/>
              <w:right w:val="nil"/>
            </w:tcBorders>
            <w:shd w:val="clear" w:color="auto" w:fill="auto"/>
          </w:tcPr>
          <w:p w:rsidR="003D49DD" w:rsidRPr="00BE7EC5" w:rsidRDefault="003D49DD" w:rsidP="00BE7EC5">
            <w:pPr>
              <w:rPr>
                <w:rFonts w:cs="Arial"/>
                <w:b/>
                <w:sz w:val="32"/>
                <w:lang w:eastAsia="en-US"/>
              </w:rPr>
            </w:pPr>
            <w:r w:rsidRPr="00BE7EC5">
              <w:rPr>
                <w:rFonts w:cs="Arial"/>
                <w:b/>
                <w:sz w:val="32"/>
                <w:lang w:eastAsia="en-US"/>
              </w:rPr>
              <w:t xml:space="preserve">Version </w:t>
            </w:r>
          </w:p>
        </w:tc>
        <w:tc>
          <w:tcPr>
            <w:tcW w:w="4621" w:type="dxa"/>
            <w:tcBorders>
              <w:top w:val="nil"/>
              <w:left w:val="nil"/>
              <w:bottom w:val="nil"/>
              <w:right w:val="nil"/>
            </w:tcBorders>
            <w:shd w:val="clear" w:color="auto" w:fill="auto"/>
          </w:tcPr>
          <w:p w:rsidR="003D49DD" w:rsidRPr="00BE7EC5" w:rsidRDefault="003D49DD" w:rsidP="00BE7EC5">
            <w:pPr>
              <w:rPr>
                <w:rFonts w:cs="Arial"/>
              </w:rPr>
            </w:pPr>
            <w:r w:rsidRPr="00BE7EC5">
              <w:rPr>
                <w:rFonts w:cs="Arial"/>
              </w:rPr>
              <w:t>3</w:t>
            </w:r>
          </w:p>
        </w:tc>
      </w:tr>
    </w:tbl>
    <w:p w:rsidR="003D49DD" w:rsidRPr="00F77C66" w:rsidRDefault="003D49DD" w:rsidP="003D49DD">
      <w:pPr>
        <w:rPr>
          <w:rFonts w:cs="Arial"/>
        </w:rPr>
      </w:pPr>
    </w:p>
    <w:p w:rsidR="003D49DD" w:rsidRPr="00F77C66" w:rsidRDefault="003D49DD" w:rsidP="003D49DD">
      <w:pPr>
        <w:rPr>
          <w:rFonts w:cs="Arial"/>
        </w:rPr>
      </w:pPr>
    </w:p>
    <w:p w:rsidR="00791DB3" w:rsidRDefault="003D49DD" w:rsidP="003D49DD">
      <w:r>
        <w:rPr>
          <w:noProof/>
        </w:rPr>
        <w:br w:type="page"/>
      </w:r>
      <w:r w:rsidR="002A22F9" w:rsidRPr="00AD30B3">
        <w:rPr>
          <w:noProof/>
        </w:rPr>
        <w:lastRenderedPageBreak/>
        <w:drawing>
          <wp:inline distT="0" distB="0" distL="0" distR="0">
            <wp:extent cx="1885950" cy="590550"/>
            <wp:effectExtent l="0" t="0" r="0" b="0"/>
            <wp:docPr id="1" name="Picture 2" descr="\\Fileserver01\SfH_LIVE_Folders\Directorates\Marketing &amp; Communications\BRANDING\15. Skills for Justice - NEW BRAND\Logos\Primary Logo\Colour\Skills for Justice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erver01\SfH_LIVE_Folders\Directorates\Marketing &amp; Communications\BRANDING\15. Skills for Justice - NEW BRAND\Logos\Primary Logo\Colour\Skills for Justice Logo 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950" cy="590550"/>
                    </a:xfrm>
                    <a:prstGeom prst="rect">
                      <a:avLst/>
                    </a:prstGeom>
                    <a:noFill/>
                    <a:ln>
                      <a:noFill/>
                    </a:ln>
                  </pic:spPr>
                </pic:pic>
              </a:graphicData>
            </a:graphic>
          </wp:inline>
        </w:drawing>
      </w:r>
      <w:r w:rsidR="00C75C4C">
        <w:rPr>
          <w:noProof/>
        </w:rPr>
        <w:t xml:space="preserve">  </w:t>
      </w:r>
      <w:r w:rsidR="008F67C8">
        <w:tab/>
      </w:r>
      <w:r w:rsidR="00C75C4C">
        <w:t xml:space="preserve">                                     </w:t>
      </w:r>
      <w:r w:rsidR="002A22F9" w:rsidRPr="00E771E4">
        <w:rPr>
          <w:noProof/>
        </w:rPr>
        <w:drawing>
          <wp:inline distT="0" distB="0" distL="0" distR="0">
            <wp:extent cx="2066925" cy="609600"/>
            <wp:effectExtent l="0" t="0" r="0" b="0"/>
            <wp:docPr id="2" name="Picture 0" descr="FSP_logo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SP_logo_co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6925" cy="609600"/>
                    </a:xfrm>
                    <a:prstGeom prst="rect">
                      <a:avLst/>
                    </a:prstGeom>
                    <a:noFill/>
                    <a:ln>
                      <a:noFill/>
                    </a:ln>
                  </pic:spPr>
                </pic:pic>
              </a:graphicData>
            </a:graphic>
          </wp:inline>
        </w:drawing>
      </w:r>
    </w:p>
    <w:p w:rsidR="00791DB3" w:rsidRDefault="00791DB3" w:rsidP="00791DB3">
      <w:r>
        <w:tab/>
      </w:r>
      <w:r>
        <w:tab/>
      </w:r>
      <w:r>
        <w:tab/>
      </w:r>
      <w:r>
        <w:tab/>
      </w:r>
      <w:r>
        <w:tab/>
      </w:r>
      <w:r w:rsidR="00C75C4C">
        <w:t xml:space="preserve"> </w:t>
      </w:r>
      <w:r>
        <w:tab/>
      </w:r>
      <w:r>
        <w:tab/>
      </w:r>
      <w:r>
        <w:tab/>
      </w:r>
    </w:p>
    <w:p w:rsidR="00791DB3" w:rsidRDefault="00791DB3" w:rsidP="00791DB3">
      <w:pPr>
        <w:ind w:left="3600"/>
      </w:pPr>
    </w:p>
    <w:p w:rsidR="00791DB3" w:rsidRDefault="00791DB3" w:rsidP="00791DB3">
      <w:pPr>
        <w:spacing w:before="576" w:after="432"/>
        <w:ind w:left="1440" w:right="1584"/>
        <w:jc w:val="center"/>
        <w:rPr>
          <w:sz w:val="36"/>
          <w:szCs w:val="36"/>
        </w:rPr>
      </w:pPr>
    </w:p>
    <w:p w:rsidR="00FF39E6" w:rsidRDefault="00FF39E6" w:rsidP="00791DB3">
      <w:pPr>
        <w:spacing w:before="576" w:after="432"/>
        <w:ind w:left="1440" w:right="1584"/>
        <w:jc w:val="center"/>
        <w:rPr>
          <w:sz w:val="36"/>
          <w:szCs w:val="36"/>
        </w:rPr>
      </w:pPr>
    </w:p>
    <w:p w:rsidR="00207BD3" w:rsidRPr="00302D0A" w:rsidRDefault="001931C3" w:rsidP="00302D0A">
      <w:pPr>
        <w:autoSpaceDE w:val="0"/>
        <w:autoSpaceDN w:val="0"/>
        <w:adjustRightInd w:val="0"/>
        <w:jc w:val="center"/>
        <w:rPr>
          <w:rFonts w:cs="Arial"/>
          <w:b/>
          <w:bCs/>
          <w:iCs/>
          <w:color w:val="000081"/>
          <w:kern w:val="0"/>
          <w:sz w:val="28"/>
          <w:szCs w:val="28"/>
          <w:lang w:val="en-US" w:eastAsia="en-US"/>
        </w:rPr>
      </w:pPr>
      <w:r w:rsidRPr="00302D0A">
        <w:rPr>
          <w:rFonts w:cs="Arial"/>
          <w:b/>
          <w:bCs/>
          <w:iCs/>
          <w:color w:val="000081"/>
          <w:kern w:val="0"/>
          <w:sz w:val="28"/>
          <w:szCs w:val="28"/>
          <w:lang w:val="en-US" w:eastAsia="en-US"/>
        </w:rPr>
        <w:t>Assessment Strategy</w:t>
      </w:r>
    </w:p>
    <w:p w:rsidR="00207BD3" w:rsidRPr="00E76C32" w:rsidRDefault="00207BD3" w:rsidP="00302D0A">
      <w:pPr>
        <w:autoSpaceDE w:val="0"/>
        <w:autoSpaceDN w:val="0"/>
        <w:adjustRightInd w:val="0"/>
        <w:jc w:val="center"/>
        <w:rPr>
          <w:rFonts w:cs="Arial"/>
          <w:b/>
          <w:bCs/>
          <w:iCs/>
          <w:color w:val="000081"/>
          <w:kern w:val="0"/>
          <w:sz w:val="26"/>
          <w:szCs w:val="26"/>
          <w:lang w:val="en-US" w:eastAsia="en-US"/>
        </w:rPr>
      </w:pPr>
    </w:p>
    <w:p w:rsidR="001931C3" w:rsidRPr="00E76C32" w:rsidRDefault="00FF7CA9" w:rsidP="00302D0A">
      <w:pPr>
        <w:autoSpaceDE w:val="0"/>
        <w:autoSpaceDN w:val="0"/>
        <w:adjustRightInd w:val="0"/>
        <w:jc w:val="center"/>
        <w:rPr>
          <w:rFonts w:cs="Arial"/>
          <w:b/>
          <w:bCs/>
          <w:iCs/>
          <w:color w:val="000081"/>
          <w:kern w:val="0"/>
          <w:sz w:val="26"/>
          <w:szCs w:val="26"/>
          <w:lang w:val="en-US" w:eastAsia="en-US"/>
        </w:rPr>
      </w:pPr>
      <w:r>
        <w:rPr>
          <w:rFonts w:cs="Arial"/>
          <w:b/>
          <w:bCs/>
          <w:iCs/>
          <w:color w:val="000081"/>
          <w:kern w:val="0"/>
          <w:sz w:val="26"/>
          <w:szCs w:val="26"/>
          <w:lang w:val="en-US" w:eastAsia="en-US"/>
        </w:rPr>
        <w:t xml:space="preserve">Providing Financial Services </w:t>
      </w:r>
      <w:r w:rsidR="00C75C4C">
        <w:rPr>
          <w:rFonts w:cs="Arial"/>
          <w:b/>
          <w:bCs/>
          <w:iCs/>
          <w:color w:val="000081"/>
          <w:kern w:val="0"/>
          <w:sz w:val="26"/>
          <w:szCs w:val="26"/>
          <w:lang w:val="en-US" w:eastAsia="en-US"/>
        </w:rPr>
        <w:t xml:space="preserve">SCQF </w:t>
      </w:r>
      <w:r w:rsidR="001931C3" w:rsidRPr="00E76C32">
        <w:rPr>
          <w:rFonts w:cs="Arial"/>
          <w:b/>
          <w:bCs/>
          <w:iCs/>
          <w:color w:val="000081"/>
          <w:kern w:val="0"/>
          <w:sz w:val="26"/>
          <w:szCs w:val="26"/>
          <w:lang w:val="en-US" w:eastAsia="en-US"/>
        </w:rPr>
        <w:t xml:space="preserve">Levels </w:t>
      </w:r>
      <w:r w:rsidR="00C75C4C">
        <w:rPr>
          <w:rFonts w:cs="Arial"/>
          <w:b/>
          <w:bCs/>
          <w:iCs/>
          <w:color w:val="000081"/>
          <w:kern w:val="0"/>
          <w:sz w:val="26"/>
          <w:szCs w:val="26"/>
          <w:lang w:val="en-US" w:eastAsia="en-US"/>
        </w:rPr>
        <w:t>5 and 6</w:t>
      </w:r>
    </w:p>
    <w:p w:rsidR="001931C3" w:rsidRPr="00E76C32" w:rsidRDefault="001931C3" w:rsidP="00302D0A">
      <w:pPr>
        <w:autoSpaceDE w:val="0"/>
        <w:autoSpaceDN w:val="0"/>
        <w:adjustRightInd w:val="0"/>
        <w:jc w:val="center"/>
        <w:rPr>
          <w:rFonts w:cs="Arial"/>
          <w:b/>
          <w:bCs/>
          <w:color w:val="000081"/>
          <w:kern w:val="0"/>
          <w:sz w:val="26"/>
          <w:szCs w:val="26"/>
          <w:lang w:val="en-US" w:eastAsia="en-US"/>
        </w:rPr>
      </w:pPr>
    </w:p>
    <w:p w:rsidR="000C000E" w:rsidRPr="00C75C4C" w:rsidRDefault="000C000E" w:rsidP="00302D0A">
      <w:pPr>
        <w:autoSpaceDE w:val="0"/>
        <w:autoSpaceDN w:val="0"/>
        <w:adjustRightInd w:val="0"/>
        <w:jc w:val="center"/>
        <w:rPr>
          <w:rFonts w:cs="Arial"/>
          <w:b/>
          <w:bCs/>
          <w:iCs/>
          <w:color w:val="000081"/>
          <w:kern w:val="0"/>
          <w:sz w:val="26"/>
          <w:szCs w:val="26"/>
          <w:lang w:val="en-US" w:eastAsia="en-US"/>
        </w:rPr>
      </w:pPr>
    </w:p>
    <w:p w:rsidR="00791DB3" w:rsidRPr="00C75C4C" w:rsidRDefault="008A3D8A" w:rsidP="00C75C4C">
      <w:pPr>
        <w:autoSpaceDE w:val="0"/>
        <w:autoSpaceDN w:val="0"/>
        <w:adjustRightInd w:val="0"/>
        <w:jc w:val="center"/>
        <w:rPr>
          <w:rFonts w:cs="Arial"/>
          <w:b/>
          <w:bCs/>
          <w:iCs/>
          <w:color w:val="000081"/>
          <w:kern w:val="0"/>
          <w:sz w:val="26"/>
          <w:szCs w:val="26"/>
          <w:lang w:val="en-US" w:eastAsia="en-US"/>
        </w:rPr>
      </w:pPr>
      <w:r>
        <w:rPr>
          <w:rFonts w:cs="Arial"/>
          <w:b/>
          <w:bCs/>
          <w:iCs/>
          <w:color w:val="000081"/>
          <w:kern w:val="0"/>
          <w:sz w:val="26"/>
          <w:szCs w:val="26"/>
          <w:lang w:val="en-US" w:eastAsia="en-US"/>
        </w:rPr>
        <w:t>June</w:t>
      </w:r>
      <w:r w:rsidR="002B6DA5">
        <w:rPr>
          <w:rFonts w:cs="Arial"/>
          <w:b/>
          <w:bCs/>
          <w:iCs/>
          <w:color w:val="000081"/>
          <w:kern w:val="0"/>
          <w:sz w:val="26"/>
          <w:szCs w:val="26"/>
          <w:lang w:val="en-US" w:eastAsia="en-US"/>
        </w:rPr>
        <w:t xml:space="preserve"> 2018</w:t>
      </w:r>
    </w:p>
    <w:p w:rsidR="00791DB3" w:rsidRDefault="00791DB3" w:rsidP="00791DB3">
      <w:pPr>
        <w:pStyle w:val="Footer"/>
        <w:spacing w:after="120"/>
        <w:ind w:right="-144"/>
        <w:rPr>
          <w:rFonts w:ascii="Arial" w:hAnsi="Arial"/>
          <w:color w:val="auto"/>
          <w:spacing w:val="-2"/>
          <w:kern w:val="28"/>
          <w:sz w:val="22"/>
        </w:rPr>
      </w:pPr>
    </w:p>
    <w:p w:rsidR="00791DB3" w:rsidRDefault="00791DB3" w:rsidP="00791DB3">
      <w:pPr>
        <w:pStyle w:val="Footer"/>
        <w:spacing w:after="120"/>
        <w:ind w:right="-144"/>
        <w:rPr>
          <w:rFonts w:ascii="Arial" w:hAnsi="Arial"/>
          <w:color w:val="auto"/>
          <w:spacing w:val="-2"/>
          <w:kern w:val="28"/>
          <w:sz w:val="22"/>
        </w:rPr>
      </w:pPr>
    </w:p>
    <w:p w:rsidR="00791DB3" w:rsidRDefault="00791DB3" w:rsidP="00791DB3">
      <w:pPr>
        <w:pStyle w:val="Footer"/>
        <w:spacing w:after="120"/>
        <w:ind w:right="-144"/>
        <w:rPr>
          <w:rFonts w:ascii="Arial" w:hAnsi="Arial"/>
          <w:color w:val="auto"/>
          <w:spacing w:val="-2"/>
          <w:kern w:val="28"/>
          <w:sz w:val="22"/>
        </w:rPr>
      </w:pPr>
    </w:p>
    <w:p w:rsidR="00791DB3" w:rsidRDefault="00791DB3" w:rsidP="00791DB3">
      <w:pPr>
        <w:pStyle w:val="Footer"/>
        <w:spacing w:after="120"/>
        <w:ind w:right="-144"/>
        <w:rPr>
          <w:rFonts w:ascii="Arial" w:hAnsi="Arial"/>
          <w:color w:val="auto"/>
          <w:spacing w:val="-2"/>
          <w:kern w:val="28"/>
          <w:sz w:val="22"/>
        </w:rPr>
      </w:pPr>
    </w:p>
    <w:p w:rsidR="00791DB3" w:rsidRDefault="00791DB3" w:rsidP="00791DB3">
      <w:pPr>
        <w:pStyle w:val="Footer"/>
        <w:spacing w:after="120"/>
        <w:ind w:right="-144"/>
        <w:rPr>
          <w:rFonts w:ascii="Arial" w:hAnsi="Arial"/>
          <w:color w:val="auto"/>
          <w:spacing w:val="-2"/>
          <w:kern w:val="28"/>
          <w:sz w:val="22"/>
        </w:rPr>
      </w:pPr>
    </w:p>
    <w:p w:rsidR="00791DB3" w:rsidRDefault="00791DB3" w:rsidP="00791DB3">
      <w:pPr>
        <w:pStyle w:val="Footer"/>
        <w:spacing w:after="120"/>
        <w:ind w:right="-144"/>
        <w:rPr>
          <w:rFonts w:ascii="Arial" w:hAnsi="Arial"/>
          <w:color w:val="auto"/>
          <w:spacing w:val="-2"/>
          <w:kern w:val="28"/>
          <w:sz w:val="22"/>
        </w:rPr>
      </w:pPr>
    </w:p>
    <w:p w:rsidR="00791DB3" w:rsidRDefault="00791DB3" w:rsidP="00791DB3">
      <w:pPr>
        <w:pStyle w:val="Footer"/>
        <w:spacing w:after="120"/>
        <w:ind w:right="-144"/>
        <w:rPr>
          <w:rFonts w:ascii="Arial" w:hAnsi="Arial"/>
          <w:color w:val="auto"/>
          <w:spacing w:val="-2"/>
          <w:kern w:val="28"/>
          <w:sz w:val="22"/>
        </w:rPr>
      </w:pPr>
    </w:p>
    <w:p w:rsidR="00791DB3" w:rsidRDefault="00791DB3" w:rsidP="00791DB3">
      <w:pPr>
        <w:pStyle w:val="Footer"/>
        <w:spacing w:after="120"/>
        <w:ind w:right="-144"/>
        <w:rPr>
          <w:rFonts w:ascii="Arial" w:hAnsi="Arial"/>
          <w:color w:val="auto"/>
          <w:spacing w:val="-2"/>
          <w:kern w:val="28"/>
          <w:sz w:val="22"/>
        </w:rPr>
      </w:pPr>
    </w:p>
    <w:p w:rsidR="00207BD3" w:rsidRPr="002A0261" w:rsidRDefault="00DE0700" w:rsidP="00207BD3">
      <w:pPr>
        <w:spacing w:after="360"/>
        <w:rPr>
          <w:b/>
          <w:spacing w:val="-2"/>
          <w:szCs w:val="24"/>
        </w:rPr>
      </w:pPr>
      <w:r>
        <w:rPr>
          <w:spacing w:val="-2"/>
          <w:sz w:val="22"/>
        </w:rPr>
        <w:br w:type="page"/>
      </w:r>
      <w:r w:rsidR="00207BD3" w:rsidRPr="002A0261">
        <w:rPr>
          <w:b/>
          <w:spacing w:val="-2"/>
          <w:szCs w:val="24"/>
        </w:rPr>
        <w:lastRenderedPageBreak/>
        <w:t xml:space="preserve">Assessment Strategy for </w:t>
      </w:r>
      <w:r w:rsidR="00FF7CA9">
        <w:rPr>
          <w:rFonts w:cs="Arial"/>
          <w:b/>
          <w:szCs w:val="24"/>
        </w:rPr>
        <w:t>SVQs</w:t>
      </w:r>
      <w:r w:rsidR="00207BD3" w:rsidRPr="002A0261">
        <w:rPr>
          <w:rFonts w:cs="Arial"/>
          <w:b/>
          <w:szCs w:val="24"/>
        </w:rPr>
        <w:t xml:space="preserve"> in Providing Financial Services</w:t>
      </w:r>
    </w:p>
    <w:p w:rsidR="00D659DD" w:rsidRDefault="00D659DD" w:rsidP="00207BD3">
      <w:pPr>
        <w:spacing w:after="240"/>
        <w:rPr>
          <w:b/>
        </w:rPr>
      </w:pPr>
      <w:r>
        <w:rPr>
          <w:b/>
        </w:rPr>
        <w:t>1.</w:t>
      </w:r>
      <w:r>
        <w:rPr>
          <w:b/>
        </w:rPr>
        <w:tab/>
        <w:t>Introduction</w:t>
      </w:r>
    </w:p>
    <w:p w:rsidR="00D659DD" w:rsidRPr="00A60AD7" w:rsidRDefault="00C75C4C" w:rsidP="00D659DD">
      <w:pPr>
        <w:rPr>
          <w:sz w:val="22"/>
          <w:szCs w:val="22"/>
        </w:rPr>
      </w:pPr>
      <w:r>
        <w:rPr>
          <w:sz w:val="22"/>
          <w:szCs w:val="22"/>
        </w:rPr>
        <w:t xml:space="preserve">Skills for Justice (on behalf of </w:t>
      </w:r>
      <w:r w:rsidR="00714BFC" w:rsidRPr="00714BFC">
        <w:rPr>
          <w:sz w:val="22"/>
          <w:szCs w:val="22"/>
        </w:rPr>
        <w:t>The</w:t>
      </w:r>
      <w:r w:rsidR="008F67C8" w:rsidRPr="00A60AD7">
        <w:rPr>
          <w:i/>
          <w:sz w:val="22"/>
          <w:szCs w:val="22"/>
        </w:rPr>
        <w:t xml:space="preserve"> </w:t>
      </w:r>
      <w:r w:rsidR="00714BFC" w:rsidRPr="00714BFC">
        <w:rPr>
          <w:sz w:val="22"/>
          <w:szCs w:val="22"/>
        </w:rPr>
        <w:t>F</w:t>
      </w:r>
      <w:r>
        <w:rPr>
          <w:sz w:val="22"/>
          <w:szCs w:val="22"/>
        </w:rPr>
        <w:t xml:space="preserve">inancial </w:t>
      </w:r>
      <w:r w:rsidR="00714BFC" w:rsidRPr="00714BFC">
        <w:rPr>
          <w:sz w:val="22"/>
          <w:szCs w:val="22"/>
        </w:rPr>
        <w:t>S</w:t>
      </w:r>
      <w:r>
        <w:rPr>
          <w:sz w:val="22"/>
          <w:szCs w:val="22"/>
        </w:rPr>
        <w:t xml:space="preserve">kills </w:t>
      </w:r>
      <w:r w:rsidR="00FF7CA9">
        <w:rPr>
          <w:sz w:val="22"/>
          <w:szCs w:val="22"/>
        </w:rPr>
        <w:t>P</w:t>
      </w:r>
      <w:r>
        <w:rPr>
          <w:sz w:val="22"/>
          <w:szCs w:val="22"/>
        </w:rPr>
        <w:t>artnership</w:t>
      </w:r>
      <w:r w:rsidR="00EA0FA0">
        <w:rPr>
          <w:sz w:val="22"/>
          <w:szCs w:val="22"/>
        </w:rPr>
        <w:t xml:space="preserve"> - FSP</w:t>
      </w:r>
      <w:r>
        <w:rPr>
          <w:sz w:val="22"/>
          <w:szCs w:val="22"/>
        </w:rPr>
        <w:t>)</w:t>
      </w:r>
      <w:r w:rsidR="00D659DD" w:rsidRPr="00A60AD7">
        <w:rPr>
          <w:i/>
          <w:sz w:val="22"/>
          <w:szCs w:val="22"/>
        </w:rPr>
        <w:t>,</w:t>
      </w:r>
      <w:r w:rsidR="00D659DD" w:rsidRPr="00A60AD7">
        <w:rPr>
          <w:sz w:val="22"/>
          <w:szCs w:val="22"/>
        </w:rPr>
        <w:t xml:space="preserve"> as the Sector Skills Council fo</w:t>
      </w:r>
      <w:r w:rsidR="00FF7CA9">
        <w:rPr>
          <w:sz w:val="22"/>
          <w:szCs w:val="22"/>
        </w:rPr>
        <w:t>r Accounting, Finance and</w:t>
      </w:r>
      <w:r w:rsidR="008F67C8" w:rsidRPr="00A60AD7">
        <w:rPr>
          <w:sz w:val="22"/>
          <w:szCs w:val="22"/>
        </w:rPr>
        <w:t xml:space="preserve"> Financial Services</w:t>
      </w:r>
      <w:r w:rsidR="00D659DD" w:rsidRPr="00A60AD7">
        <w:rPr>
          <w:sz w:val="22"/>
          <w:szCs w:val="22"/>
        </w:rPr>
        <w:t>, is responsible for developing an assessment strategy for t</w:t>
      </w:r>
      <w:r w:rsidR="00E76C32">
        <w:rPr>
          <w:sz w:val="22"/>
          <w:szCs w:val="22"/>
        </w:rPr>
        <w:t>he qualifications based on its N</w:t>
      </w:r>
      <w:r w:rsidR="00D659DD" w:rsidRPr="00A60AD7">
        <w:rPr>
          <w:sz w:val="22"/>
          <w:szCs w:val="22"/>
        </w:rPr>
        <w:t xml:space="preserve">ational </w:t>
      </w:r>
      <w:r w:rsidR="00E76C32">
        <w:rPr>
          <w:sz w:val="22"/>
          <w:szCs w:val="22"/>
        </w:rPr>
        <w:t>O</w:t>
      </w:r>
      <w:r w:rsidR="00D659DD" w:rsidRPr="00A60AD7">
        <w:rPr>
          <w:sz w:val="22"/>
          <w:szCs w:val="22"/>
        </w:rPr>
        <w:t xml:space="preserve">ccupational </w:t>
      </w:r>
      <w:r w:rsidR="00E76C32">
        <w:rPr>
          <w:sz w:val="22"/>
          <w:szCs w:val="22"/>
        </w:rPr>
        <w:t>S</w:t>
      </w:r>
      <w:r w:rsidR="00D659DD" w:rsidRPr="00A60AD7">
        <w:rPr>
          <w:sz w:val="22"/>
          <w:szCs w:val="22"/>
        </w:rPr>
        <w:t xml:space="preserve">tandards. </w:t>
      </w:r>
    </w:p>
    <w:p w:rsidR="00D659DD" w:rsidRPr="00A60AD7" w:rsidRDefault="00D659DD" w:rsidP="00D659DD">
      <w:pPr>
        <w:rPr>
          <w:sz w:val="22"/>
          <w:szCs w:val="22"/>
        </w:rPr>
      </w:pPr>
    </w:p>
    <w:p w:rsidR="00D659DD" w:rsidRPr="00A60AD7" w:rsidRDefault="00D659DD" w:rsidP="00D659DD">
      <w:pPr>
        <w:rPr>
          <w:sz w:val="22"/>
          <w:szCs w:val="22"/>
        </w:rPr>
      </w:pPr>
      <w:r w:rsidRPr="00A60AD7">
        <w:rPr>
          <w:sz w:val="22"/>
          <w:szCs w:val="22"/>
        </w:rPr>
        <w:t xml:space="preserve">This responsibility means that </w:t>
      </w:r>
      <w:r w:rsidR="007D756A">
        <w:rPr>
          <w:sz w:val="22"/>
          <w:szCs w:val="22"/>
        </w:rPr>
        <w:t>FSP</w:t>
      </w:r>
      <w:r w:rsidRPr="00A60AD7">
        <w:rPr>
          <w:sz w:val="22"/>
          <w:szCs w:val="22"/>
        </w:rPr>
        <w:t xml:space="preserve"> must:</w:t>
      </w:r>
    </w:p>
    <w:p w:rsidR="00D659DD" w:rsidRPr="00A60AD7" w:rsidRDefault="00D659DD" w:rsidP="00D659DD">
      <w:pPr>
        <w:rPr>
          <w:sz w:val="22"/>
          <w:szCs w:val="22"/>
        </w:rPr>
      </w:pPr>
    </w:p>
    <w:p w:rsidR="00D659DD" w:rsidRPr="00A60AD7" w:rsidRDefault="00BE7EC9" w:rsidP="00D659DD">
      <w:pPr>
        <w:numPr>
          <w:ilvl w:val="0"/>
          <w:numId w:val="2"/>
        </w:numPr>
        <w:rPr>
          <w:sz w:val="22"/>
          <w:szCs w:val="22"/>
        </w:rPr>
      </w:pPr>
      <w:r>
        <w:rPr>
          <w:sz w:val="22"/>
          <w:szCs w:val="22"/>
        </w:rPr>
        <w:t>r</w:t>
      </w:r>
      <w:r w:rsidR="00D659DD" w:rsidRPr="00A60AD7">
        <w:rPr>
          <w:sz w:val="22"/>
          <w:szCs w:val="22"/>
        </w:rPr>
        <w:t xml:space="preserve">ecommend how external quality control of assessment will be achieved; </w:t>
      </w:r>
    </w:p>
    <w:p w:rsidR="00D659DD" w:rsidRPr="00A60AD7" w:rsidRDefault="00D659DD" w:rsidP="00D659DD">
      <w:pPr>
        <w:ind w:left="567"/>
        <w:rPr>
          <w:sz w:val="22"/>
          <w:szCs w:val="22"/>
        </w:rPr>
      </w:pPr>
    </w:p>
    <w:p w:rsidR="00D659DD" w:rsidRPr="00A60AD7" w:rsidRDefault="00BE7EC9" w:rsidP="00D659DD">
      <w:pPr>
        <w:numPr>
          <w:ilvl w:val="0"/>
          <w:numId w:val="2"/>
        </w:numPr>
        <w:rPr>
          <w:sz w:val="22"/>
          <w:szCs w:val="22"/>
        </w:rPr>
      </w:pPr>
      <w:r>
        <w:rPr>
          <w:sz w:val="22"/>
          <w:szCs w:val="22"/>
        </w:rPr>
        <w:t>d</w:t>
      </w:r>
      <w:r w:rsidR="00D659DD" w:rsidRPr="00A60AD7">
        <w:rPr>
          <w:sz w:val="22"/>
          <w:szCs w:val="22"/>
        </w:rPr>
        <w:t>efine which aspects of the national standards must always be assessed through performance in the workplace;</w:t>
      </w:r>
    </w:p>
    <w:p w:rsidR="00D659DD" w:rsidRPr="00A60AD7" w:rsidRDefault="00D659DD" w:rsidP="00D659DD">
      <w:pPr>
        <w:rPr>
          <w:sz w:val="22"/>
          <w:szCs w:val="22"/>
        </w:rPr>
      </w:pPr>
    </w:p>
    <w:p w:rsidR="00D659DD" w:rsidRPr="00A60AD7" w:rsidRDefault="00BE7EC9" w:rsidP="00D659DD">
      <w:pPr>
        <w:numPr>
          <w:ilvl w:val="0"/>
          <w:numId w:val="2"/>
        </w:numPr>
        <w:rPr>
          <w:sz w:val="22"/>
          <w:szCs w:val="22"/>
        </w:rPr>
      </w:pPr>
      <w:r>
        <w:rPr>
          <w:sz w:val="22"/>
          <w:szCs w:val="22"/>
        </w:rPr>
        <w:t>d</w:t>
      </w:r>
      <w:r w:rsidR="00D659DD" w:rsidRPr="00A60AD7">
        <w:rPr>
          <w:sz w:val="22"/>
          <w:szCs w:val="22"/>
        </w:rPr>
        <w:t xml:space="preserve">efine the extent to which simulated working conditions may be used to assess competence and any characteristics that simulations should have, including definitions (where appropriate) of what would constitute a </w:t>
      </w:r>
      <w:r w:rsidR="00E76C32">
        <w:rPr>
          <w:sz w:val="22"/>
          <w:szCs w:val="22"/>
        </w:rPr>
        <w:t>realistic working environment</w:t>
      </w:r>
      <w:r w:rsidR="00D659DD" w:rsidRPr="00A60AD7">
        <w:rPr>
          <w:sz w:val="22"/>
          <w:szCs w:val="22"/>
        </w:rPr>
        <w:t xml:space="preserve"> (RWE) for the qualifications concerned;</w:t>
      </w:r>
    </w:p>
    <w:p w:rsidR="00D659DD" w:rsidRPr="00A60AD7" w:rsidRDefault="00D659DD" w:rsidP="00D659DD">
      <w:pPr>
        <w:rPr>
          <w:sz w:val="22"/>
          <w:szCs w:val="22"/>
        </w:rPr>
      </w:pPr>
    </w:p>
    <w:p w:rsidR="00D659DD" w:rsidRPr="00A60AD7" w:rsidRDefault="00BE7EC9" w:rsidP="00D659DD">
      <w:pPr>
        <w:numPr>
          <w:ilvl w:val="0"/>
          <w:numId w:val="2"/>
        </w:numPr>
        <w:tabs>
          <w:tab w:val="left" w:pos="720"/>
        </w:tabs>
        <w:rPr>
          <w:sz w:val="22"/>
          <w:szCs w:val="22"/>
        </w:rPr>
      </w:pPr>
      <w:r>
        <w:rPr>
          <w:sz w:val="22"/>
          <w:szCs w:val="22"/>
        </w:rPr>
        <w:t>d</w:t>
      </w:r>
      <w:r w:rsidR="00D659DD" w:rsidRPr="00A60AD7">
        <w:rPr>
          <w:sz w:val="22"/>
          <w:szCs w:val="22"/>
        </w:rPr>
        <w:t>efine the occupational expertise requirements for assessors and verifiers in consultation with industry and in agreement with awarding bodies.</w:t>
      </w:r>
    </w:p>
    <w:p w:rsidR="00D659DD" w:rsidRPr="00A60AD7" w:rsidRDefault="00D659DD" w:rsidP="00D659DD">
      <w:pPr>
        <w:tabs>
          <w:tab w:val="left" w:pos="432"/>
        </w:tabs>
        <w:rPr>
          <w:sz w:val="22"/>
          <w:szCs w:val="22"/>
        </w:rPr>
      </w:pPr>
    </w:p>
    <w:p w:rsidR="00D659DD" w:rsidRPr="00A60AD7" w:rsidRDefault="00D659DD" w:rsidP="00D659DD">
      <w:pPr>
        <w:rPr>
          <w:sz w:val="22"/>
          <w:szCs w:val="22"/>
        </w:rPr>
      </w:pPr>
      <w:r w:rsidRPr="00A60AD7">
        <w:rPr>
          <w:sz w:val="22"/>
          <w:szCs w:val="22"/>
        </w:rPr>
        <w:t>This</w:t>
      </w:r>
      <w:r w:rsidR="007D756A">
        <w:rPr>
          <w:sz w:val="22"/>
          <w:szCs w:val="22"/>
        </w:rPr>
        <w:t xml:space="preserve"> Assessment Strategy for the S</w:t>
      </w:r>
      <w:r w:rsidRPr="00A60AD7">
        <w:rPr>
          <w:sz w:val="22"/>
          <w:szCs w:val="22"/>
        </w:rPr>
        <w:t>VQs</w:t>
      </w:r>
      <w:r w:rsidR="00683917" w:rsidRPr="00A60AD7">
        <w:rPr>
          <w:sz w:val="22"/>
          <w:szCs w:val="22"/>
        </w:rPr>
        <w:t xml:space="preserve"> in </w:t>
      </w:r>
      <w:r w:rsidR="00D36DDC">
        <w:rPr>
          <w:sz w:val="22"/>
          <w:szCs w:val="22"/>
        </w:rPr>
        <w:t>Providing</w:t>
      </w:r>
      <w:r w:rsidR="00683917" w:rsidRPr="00A60AD7">
        <w:rPr>
          <w:sz w:val="22"/>
          <w:szCs w:val="22"/>
        </w:rPr>
        <w:t xml:space="preserve"> Financial Services </w:t>
      </w:r>
      <w:r w:rsidRPr="00A60AD7">
        <w:rPr>
          <w:sz w:val="22"/>
          <w:szCs w:val="22"/>
        </w:rPr>
        <w:t xml:space="preserve">addresses the four areas indicated above. </w:t>
      </w:r>
    </w:p>
    <w:p w:rsidR="00D659DD" w:rsidRDefault="00D659DD" w:rsidP="00925E6A">
      <w:pPr>
        <w:spacing w:line="360" w:lineRule="auto"/>
        <w:rPr>
          <w:sz w:val="22"/>
        </w:rPr>
      </w:pPr>
    </w:p>
    <w:p w:rsidR="00D659DD" w:rsidRPr="00430F4A" w:rsidRDefault="00D659DD" w:rsidP="00207BD3">
      <w:pPr>
        <w:pStyle w:val="Heading1"/>
        <w:keepNext w:val="0"/>
        <w:spacing w:after="240"/>
        <w:rPr>
          <w:sz w:val="24"/>
          <w:szCs w:val="24"/>
        </w:rPr>
      </w:pPr>
      <w:r w:rsidRPr="00430F4A">
        <w:rPr>
          <w:sz w:val="24"/>
          <w:szCs w:val="24"/>
        </w:rPr>
        <w:t>2.</w:t>
      </w:r>
      <w:r w:rsidRPr="00430F4A">
        <w:rPr>
          <w:sz w:val="24"/>
          <w:szCs w:val="24"/>
        </w:rPr>
        <w:tab/>
        <w:t>Review and Evaluation of this Strategy</w:t>
      </w:r>
    </w:p>
    <w:p w:rsidR="00D659DD" w:rsidRDefault="005518D0" w:rsidP="00C75C4C">
      <w:pPr>
        <w:jc w:val="both"/>
        <w:rPr>
          <w:sz w:val="22"/>
        </w:rPr>
      </w:pPr>
      <w:r>
        <w:rPr>
          <w:sz w:val="22"/>
        </w:rPr>
        <w:t xml:space="preserve">The </w:t>
      </w:r>
      <w:r w:rsidR="007D756A">
        <w:rPr>
          <w:sz w:val="22"/>
        </w:rPr>
        <w:t>FSP</w:t>
      </w:r>
      <w:r w:rsidR="00D659DD">
        <w:rPr>
          <w:sz w:val="22"/>
        </w:rPr>
        <w:t xml:space="preserve"> and awarding bodies will continually monitor the effectiven</w:t>
      </w:r>
      <w:r>
        <w:rPr>
          <w:sz w:val="22"/>
        </w:rPr>
        <w:t xml:space="preserve">ess of this strategy.  It will </w:t>
      </w:r>
      <w:r w:rsidR="00D659DD">
        <w:rPr>
          <w:sz w:val="22"/>
        </w:rPr>
        <w:t xml:space="preserve">be reviewed annually and revised where necessary every two years. </w:t>
      </w:r>
      <w:r w:rsidR="00E766CE">
        <w:rPr>
          <w:sz w:val="22"/>
        </w:rPr>
        <w:t xml:space="preserve"> </w:t>
      </w:r>
      <w:r w:rsidR="007D756A">
        <w:rPr>
          <w:sz w:val="22"/>
        </w:rPr>
        <w:t>FSP</w:t>
      </w:r>
      <w:r w:rsidR="00D659DD">
        <w:rPr>
          <w:sz w:val="22"/>
        </w:rPr>
        <w:t xml:space="preserve"> will therefore establish arrangements for awarding bodies to provide feedback that will assist in the evaluation and review of this strategy. </w:t>
      </w:r>
      <w:r w:rsidR="00E766CE">
        <w:rPr>
          <w:sz w:val="22"/>
        </w:rPr>
        <w:t xml:space="preserve"> </w:t>
      </w:r>
      <w:r w:rsidR="00D659DD">
        <w:rPr>
          <w:sz w:val="22"/>
        </w:rPr>
        <w:t>This feedback will also be used to evaluate assessment and verification practices, identify and promulgate good practice and inform any improvements to be made to this strategy.</w:t>
      </w:r>
    </w:p>
    <w:p w:rsidR="00D659DD" w:rsidRDefault="00D659DD" w:rsidP="00C75C4C">
      <w:pPr>
        <w:jc w:val="both"/>
        <w:rPr>
          <w:sz w:val="22"/>
        </w:rPr>
      </w:pPr>
    </w:p>
    <w:p w:rsidR="00D659DD" w:rsidRDefault="00D659DD" w:rsidP="00C75C4C">
      <w:pPr>
        <w:pStyle w:val="BodyText2"/>
      </w:pPr>
      <w:r>
        <w:t xml:space="preserve">Awarding bodies and their approved centres will be encouraged to submit comments and suggestions for improvements. </w:t>
      </w:r>
      <w:r w:rsidR="00E766CE">
        <w:t xml:space="preserve"> </w:t>
      </w:r>
      <w:r>
        <w:t>This will be through formal dialogue between</w:t>
      </w:r>
      <w:r w:rsidR="005518D0">
        <w:t xml:space="preserve"> the</w:t>
      </w:r>
      <w:r>
        <w:t xml:space="preserve"> </w:t>
      </w:r>
      <w:r w:rsidR="007D756A">
        <w:t>FSP</w:t>
      </w:r>
      <w:r>
        <w:t xml:space="preserve"> and the awarding bodies.</w:t>
      </w:r>
    </w:p>
    <w:p w:rsidR="00925E6A" w:rsidRDefault="00925E6A" w:rsidP="00925E6A">
      <w:pPr>
        <w:spacing w:line="360" w:lineRule="auto"/>
        <w:rPr>
          <w:sz w:val="22"/>
        </w:rPr>
      </w:pPr>
    </w:p>
    <w:p w:rsidR="00D659DD" w:rsidRPr="00430F4A" w:rsidRDefault="00D659DD" w:rsidP="00207BD3">
      <w:pPr>
        <w:spacing w:after="240"/>
        <w:rPr>
          <w:b/>
          <w:spacing w:val="2"/>
          <w:szCs w:val="24"/>
        </w:rPr>
      </w:pPr>
      <w:r w:rsidRPr="00430F4A">
        <w:rPr>
          <w:b/>
          <w:spacing w:val="2"/>
          <w:szCs w:val="24"/>
        </w:rPr>
        <w:t>3.</w:t>
      </w:r>
      <w:r w:rsidRPr="00430F4A">
        <w:rPr>
          <w:spacing w:val="2"/>
          <w:szCs w:val="24"/>
        </w:rPr>
        <w:t xml:space="preserve"> </w:t>
      </w:r>
      <w:r w:rsidRPr="00430F4A">
        <w:rPr>
          <w:spacing w:val="2"/>
          <w:szCs w:val="24"/>
        </w:rPr>
        <w:tab/>
      </w:r>
      <w:r w:rsidRPr="00430F4A">
        <w:rPr>
          <w:b/>
          <w:spacing w:val="2"/>
          <w:szCs w:val="24"/>
        </w:rPr>
        <w:t>External Quality Control of Assessment</w:t>
      </w:r>
    </w:p>
    <w:p w:rsidR="00D659DD" w:rsidRPr="00FD11E5" w:rsidRDefault="00D659DD" w:rsidP="00C75C4C">
      <w:pPr>
        <w:jc w:val="both"/>
        <w:rPr>
          <w:spacing w:val="2"/>
          <w:sz w:val="22"/>
        </w:rPr>
      </w:pPr>
      <w:r w:rsidRPr="00FD11E5">
        <w:rPr>
          <w:spacing w:val="2"/>
          <w:sz w:val="22"/>
        </w:rPr>
        <w:t xml:space="preserve">The quality of the assessment process is the responsibility of the awarding bodies. </w:t>
      </w:r>
      <w:r w:rsidR="00E766CE">
        <w:rPr>
          <w:spacing w:val="2"/>
          <w:sz w:val="22"/>
        </w:rPr>
        <w:t xml:space="preserve"> </w:t>
      </w:r>
      <w:r w:rsidRPr="00FD11E5">
        <w:rPr>
          <w:spacing w:val="2"/>
          <w:sz w:val="22"/>
        </w:rPr>
        <w:t>The following information is provided by</w:t>
      </w:r>
      <w:r w:rsidR="005518D0" w:rsidRPr="00FD11E5">
        <w:rPr>
          <w:spacing w:val="2"/>
          <w:sz w:val="22"/>
        </w:rPr>
        <w:t xml:space="preserve"> the</w:t>
      </w:r>
      <w:r w:rsidRPr="00FD11E5">
        <w:rPr>
          <w:spacing w:val="2"/>
          <w:sz w:val="22"/>
        </w:rPr>
        <w:t xml:space="preserve"> </w:t>
      </w:r>
      <w:r w:rsidR="007D756A">
        <w:rPr>
          <w:spacing w:val="2"/>
          <w:sz w:val="22"/>
        </w:rPr>
        <w:t>FSP</w:t>
      </w:r>
      <w:r w:rsidRPr="00FD11E5">
        <w:rPr>
          <w:spacing w:val="2"/>
          <w:sz w:val="22"/>
        </w:rPr>
        <w:t xml:space="preserve"> as guidance to awarding bodies</w:t>
      </w:r>
      <w:r w:rsidR="00E76C32">
        <w:rPr>
          <w:spacing w:val="2"/>
          <w:sz w:val="22"/>
        </w:rPr>
        <w:t>, who</w:t>
      </w:r>
      <w:r w:rsidR="00791DB3" w:rsidRPr="00FD11E5">
        <w:rPr>
          <w:spacing w:val="2"/>
          <w:sz w:val="22"/>
        </w:rPr>
        <w:t xml:space="preserve"> are reminded that they m</w:t>
      </w:r>
      <w:r w:rsidR="00E76C32">
        <w:rPr>
          <w:spacing w:val="2"/>
          <w:sz w:val="22"/>
        </w:rPr>
        <w:t>ust meet the relevant regulators’</w:t>
      </w:r>
      <w:r w:rsidR="00791DB3" w:rsidRPr="00FD11E5">
        <w:rPr>
          <w:spacing w:val="2"/>
          <w:sz w:val="22"/>
        </w:rPr>
        <w:t xml:space="preserve"> criteria</w:t>
      </w:r>
      <w:r w:rsidRPr="00FD11E5">
        <w:rPr>
          <w:spacing w:val="2"/>
          <w:sz w:val="22"/>
        </w:rPr>
        <w:t>.</w:t>
      </w:r>
      <w:r w:rsidR="00677988">
        <w:rPr>
          <w:spacing w:val="2"/>
          <w:sz w:val="22"/>
        </w:rPr>
        <w:t xml:space="preserve"> </w:t>
      </w:r>
      <w:r w:rsidR="005518D0" w:rsidRPr="00FD11E5">
        <w:rPr>
          <w:spacing w:val="2"/>
          <w:sz w:val="22"/>
        </w:rPr>
        <w:t xml:space="preserve"> The</w:t>
      </w:r>
      <w:r w:rsidRPr="00FD11E5">
        <w:rPr>
          <w:spacing w:val="2"/>
          <w:sz w:val="22"/>
        </w:rPr>
        <w:t xml:space="preserve"> </w:t>
      </w:r>
      <w:r w:rsidR="00714BFC" w:rsidRPr="00714BFC">
        <w:rPr>
          <w:spacing w:val="2"/>
          <w:sz w:val="22"/>
        </w:rPr>
        <w:t>FS</w:t>
      </w:r>
      <w:r w:rsidR="007D756A">
        <w:rPr>
          <w:spacing w:val="2"/>
          <w:sz w:val="22"/>
        </w:rPr>
        <w:t>P</w:t>
      </w:r>
      <w:r w:rsidRPr="00FD11E5">
        <w:rPr>
          <w:i/>
          <w:spacing w:val="2"/>
          <w:sz w:val="22"/>
        </w:rPr>
        <w:t xml:space="preserve"> </w:t>
      </w:r>
      <w:r w:rsidRPr="00FD11E5">
        <w:rPr>
          <w:spacing w:val="2"/>
          <w:sz w:val="22"/>
        </w:rPr>
        <w:t>encourages flexibility and innovation of approach alongside robust systems to support quality control.</w:t>
      </w:r>
      <w:r w:rsidR="00E81196" w:rsidRPr="00FD11E5">
        <w:rPr>
          <w:spacing w:val="2"/>
          <w:sz w:val="22"/>
        </w:rPr>
        <w:t xml:space="preserve">  The </w:t>
      </w:r>
      <w:r w:rsidR="00714BFC" w:rsidRPr="00714BFC">
        <w:rPr>
          <w:spacing w:val="2"/>
          <w:sz w:val="22"/>
        </w:rPr>
        <w:t>FS</w:t>
      </w:r>
      <w:r w:rsidR="007D756A">
        <w:rPr>
          <w:spacing w:val="2"/>
          <w:sz w:val="22"/>
        </w:rPr>
        <w:t>P</w:t>
      </w:r>
      <w:r w:rsidR="00E81196" w:rsidRPr="00FD11E5">
        <w:rPr>
          <w:i/>
          <w:spacing w:val="2"/>
          <w:sz w:val="22"/>
        </w:rPr>
        <w:t xml:space="preserve"> </w:t>
      </w:r>
      <w:r w:rsidR="00E81196" w:rsidRPr="00FD11E5">
        <w:rPr>
          <w:spacing w:val="2"/>
          <w:sz w:val="22"/>
        </w:rPr>
        <w:t>welco</w:t>
      </w:r>
      <w:r w:rsidR="00E766CE">
        <w:rPr>
          <w:spacing w:val="2"/>
          <w:sz w:val="22"/>
        </w:rPr>
        <w:t>mes opportunities to meet with external verifiers appointed by the awarding bodie</w:t>
      </w:r>
      <w:r w:rsidR="00E81196" w:rsidRPr="00FD11E5">
        <w:rPr>
          <w:spacing w:val="2"/>
          <w:sz w:val="22"/>
        </w:rPr>
        <w:t>s.</w:t>
      </w:r>
    </w:p>
    <w:p w:rsidR="00D659DD" w:rsidRPr="00FD11E5" w:rsidRDefault="00D659DD" w:rsidP="00D659DD">
      <w:pPr>
        <w:rPr>
          <w:spacing w:val="2"/>
          <w:sz w:val="22"/>
        </w:rPr>
      </w:pPr>
    </w:p>
    <w:p w:rsidR="00430F4A" w:rsidRDefault="00430F4A" w:rsidP="00D659DD">
      <w:pPr>
        <w:rPr>
          <w:spacing w:val="2"/>
          <w:sz w:val="22"/>
        </w:rPr>
      </w:pPr>
    </w:p>
    <w:p w:rsidR="00430F4A" w:rsidRDefault="00430F4A" w:rsidP="00D659DD">
      <w:pPr>
        <w:rPr>
          <w:spacing w:val="2"/>
          <w:sz w:val="22"/>
        </w:rPr>
      </w:pPr>
    </w:p>
    <w:p w:rsidR="00D659DD" w:rsidRDefault="00A95059" w:rsidP="00D659DD">
      <w:pPr>
        <w:rPr>
          <w:spacing w:val="2"/>
          <w:sz w:val="22"/>
        </w:rPr>
      </w:pPr>
      <w:r w:rsidRPr="00FD11E5">
        <w:rPr>
          <w:spacing w:val="2"/>
          <w:sz w:val="22"/>
        </w:rPr>
        <w:lastRenderedPageBreak/>
        <w:t>Awarding bodies should</w:t>
      </w:r>
      <w:r w:rsidR="00D659DD" w:rsidRPr="00FD11E5">
        <w:rPr>
          <w:spacing w:val="2"/>
          <w:sz w:val="22"/>
        </w:rPr>
        <w:t xml:space="preserve"> </w:t>
      </w:r>
      <w:r w:rsidR="00791DB3" w:rsidRPr="00FD11E5">
        <w:rPr>
          <w:spacing w:val="2"/>
          <w:sz w:val="22"/>
        </w:rPr>
        <w:t xml:space="preserve">ensure that </w:t>
      </w:r>
      <w:r w:rsidR="00D659DD" w:rsidRPr="00FD11E5">
        <w:rPr>
          <w:spacing w:val="2"/>
          <w:sz w:val="22"/>
        </w:rPr>
        <w:t xml:space="preserve">detail </w:t>
      </w:r>
      <w:r w:rsidR="00791DB3" w:rsidRPr="00FD11E5">
        <w:rPr>
          <w:spacing w:val="2"/>
          <w:sz w:val="22"/>
        </w:rPr>
        <w:t>is available for</w:t>
      </w:r>
      <w:r w:rsidR="005518D0" w:rsidRPr="00FD11E5">
        <w:rPr>
          <w:spacing w:val="2"/>
          <w:sz w:val="22"/>
        </w:rPr>
        <w:t xml:space="preserve"> each of the following:</w:t>
      </w:r>
    </w:p>
    <w:p w:rsidR="00D659DD" w:rsidRDefault="00D659DD" w:rsidP="00D659DD">
      <w:pPr>
        <w:rPr>
          <w:spacing w:val="2"/>
          <w:sz w:val="22"/>
        </w:rPr>
      </w:pPr>
    </w:p>
    <w:p w:rsidR="00D659DD" w:rsidRPr="00430F4A" w:rsidRDefault="00D659DD" w:rsidP="00207BD3">
      <w:pPr>
        <w:spacing w:after="120"/>
        <w:rPr>
          <w:spacing w:val="2"/>
          <w:sz w:val="22"/>
          <w:u w:val="single"/>
        </w:rPr>
      </w:pPr>
      <w:r w:rsidRPr="00430F4A">
        <w:rPr>
          <w:spacing w:val="2"/>
          <w:sz w:val="22"/>
          <w:u w:val="single"/>
        </w:rPr>
        <w:t xml:space="preserve">3.1 </w:t>
      </w:r>
      <w:r w:rsidRPr="00430F4A">
        <w:rPr>
          <w:spacing w:val="2"/>
          <w:sz w:val="22"/>
          <w:u w:val="single"/>
        </w:rPr>
        <w:tab/>
        <w:t>External Verification</w:t>
      </w:r>
    </w:p>
    <w:p w:rsidR="00D659DD" w:rsidRDefault="00D659DD" w:rsidP="00D659DD">
      <w:pPr>
        <w:ind w:left="720"/>
        <w:rPr>
          <w:spacing w:val="2"/>
          <w:sz w:val="22"/>
        </w:rPr>
      </w:pPr>
      <w:r>
        <w:rPr>
          <w:spacing w:val="2"/>
          <w:sz w:val="22"/>
        </w:rPr>
        <w:t>External Verifiers (EVs) should verify assessments at approved centres.  The normal frequency of external verification visits is two per year (a total of two days per year).  However, the exact frequency should be de</w:t>
      </w:r>
      <w:r w:rsidR="00A95059">
        <w:rPr>
          <w:spacing w:val="2"/>
          <w:sz w:val="22"/>
        </w:rPr>
        <w:t>termined by the risk assessment of the awarding body</w:t>
      </w:r>
      <w:r w:rsidR="00430F4A">
        <w:rPr>
          <w:spacing w:val="2"/>
          <w:sz w:val="22"/>
        </w:rPr>
        <w:t>.</w:t>
      </w:r>
    </w:p>
    <w:p w:rsidR="00D659DD" w:rsidRDefault="00D659DD" w:rsidP="00D659DD">
      <w:pPr>
        <w:ind w:left="720" w:hanging="720"/>
        <w:rPr>
          <w:spacing w:val="2"/>
          <w:sz w:val="22"/>
        </w:rPr>
      </w:pPr>
    </w:p>
    <w:p w:rsidR="00D659DD" w:rsidRDefault="00D659DD" w:rsidP="00D659DD">
      <w:pPr>
        <w:pStyle w:val="BodyText"/>
        <w:spacing w:after="0"/>
        <w:ind w:left="720"/>
      </w:pPr>
      <w:r>
        <w:t>The verification should include inspection of the records of evidence and assessment.  Awarding bodies should consider rotating their external verifiers in order to encourage standardisation, independence of assessment and the sharing of good practice.</w:t>
      </w:r>
    </w:p>
    <w:p w:rsidR="00430F4A" w:rsidRDefault="00430F4A" w:rsidP="008A6159">
      <w:pPr>
        <w:pStyle w:val="g-text"/>
        <w:ind w:left="720"/>
        <w:rPr>
          <w:rFonts w:ascii="Arial" w:hAnsi="Arial" w:cs="Arial"/>
          <w:color w:val="000000"/>
          <w:szCs w:val="22"/>
        </w:rPr>
      </w:pPr>
    </w:p>
    <w:p w:rsidR="008A6159" w:rsidRPr="003C21DD" w:rsidRDefault="008A6159" w:rsidP="008A6159">
      <w:pPr>
        <w:pStyle w:val="g-text"/>
        <w:ind w:left="720"/>
        <w:rPr>
          <w:rFonts w:ascii="Arial" w:hAnsi="Arial" w:cs="Arial"/>
          <w:color w:val="000000"/>
          <w:szCs w:val="22"/>
        </w:rPr>
      </w:pPr>
      <w:r w:rsidRPr="003C21DD">
        <w:rPr>
          <w:rFonts w:ascii="Arial" w:hAnsi="Arial" w:cs="Arial"/>
          <w:color w:val="000000"/>
          <w:szCs w:val="22"/>
        </w:rPr>
        <w:t>External verifiers will be expected to sample assessment decisions using a strategy based upon:</w:t>
      </w:r>
    </w:p>
    <w:p w:rsidR="008A6159" w:rsidRPr="003C21DD" w:rsidRDefault="008A6159" w:rsidP="001B6496">
      <w:pPr>
        <w:pStyle w:val="g-text1"/>
        <w:tabs>
          <w:tab w:val="clear" w:pos="360"/>
          <w:tab w:val="num" w:pos="1440"/>
        </w:tabs>
        <w:ind w:left="1440"/>
        <w:rPr>
          <w:rFonts w:ascii="Arial" w:hAnsi="Arial" w:cs="Arial"/>
          <w:color w:val="000000"/>
          <w:szCs w:val="22"/>
        </w:rPr>
      </w:pPr>
      <w:r w:rsidRPr="003C21DD">
        <w:rPr>
          <w:rFonts w:ascii="Arial" w:hAnsi="Arial" w:cs="Arial"/>
          <w:color w:val="000000"/>
          <w:szCs w:val="22"/>
        </w:rPr>
        <w:t xml:space="preserve">assessment decisions across all units contained within </w:t>
      </w:r>
      <w:r w:rsidR="00DB06FA">
        <w:rPr>
          <w:rFonts w:ascii="Arial" w:hAnsi="Arial" w:cs="Arial"/>
          <w:color w:val="000000"/>
          <w:szCs w:val="22"/>
        </w:rPr>
        <w:t>S</w:t>
      </w:r>
      <w:r w:rsidR="0057711E">
        <w:rPr>
          <w:rFonts w:ascii="Arial" w:hAnsi="Arial" w:cs="Arial"/>
          <w:color w:val="000000"/>
          <w:szCs w:val="22"/>
        </w:rPr>
        <w:t>VQs in Providing</w:t>
      </w:r>
      <w:r>
        <w:rPr>
          <w:rFonts w:ascii="Arial" w:hAnsi="Arial" w:cs="Arial"/>
          <w:color w:val="000000"/>
          <w:szCs w:val="22"/>
        </w:rPr>
        <w:t xml:space="preserve"> Financial Services</w:t>
      </w:r>
      <w:r w:rsidRPr="003C21DD">
        <w:rPr>
          <w:rFonts w:ascii="Arial" w:hAnsi="Arial" w:cs="Arial"/>
          <w:color w:val="000000"/>
          <w:szCs w:val="22"/>
        </w:rPr>
        <w:t xml:space="preserve">; </w:t>
      </w:r>
    </w:p>
    <w:p w:rsidR="008A6159" w:rsidRPr="003C21DD" w:rsidRDefault="008A6159" w:rsidP="001B6496">
      <w:pPr>
        <w:pStyle w:val="g-text1"/>
        <w:tabs>
          <w:tab w:val="clear" w:pos="360"/>
          <w:tab w:val="num" w:pos="1440"/>
        </w:tabs>
        <w:ind w:left="1440"/>
        <w:rPr>
          <w:rFonts w:ascii="Arial" w:hAnsi="Arial" w:cs="Arial"/>
          <w:color w:val="000000"/>
          <w:szCs w:val="22"/>
        </w:rPr>
      </w:pPr>
      <w:r w:rsidRPr="003C21DD">
        <w:rPr>
          <w:rFonts w:ascii="Arial" w:hAnsi="Arial" w:cs="Arial"/>
          <w:color w:val="000000"/>
          <w:szCs w:val="22"/>
        </w:rPr>
        <w:t>assessment decisions that include a sufficient range of learners to provide assurance that the assessor is consistent over the range;</w:t>
      </w:r>
    </w:p>
    <w:p w:rsidR="008A6159" w:rsidRPr="00D70CBF" w:rsidRDefault="008A6159" w:rsidP="001B6496">
      <w:pPr>
        <w:pStyle w:val="g-text1"/>
        <w:tabs>
          <w:tab w:val="clear" w:pos="360"/>
          <w:tab w:val="num" w:pos="1440"/>
        </w:tabs>
        <w:ind w:left="1440"/>
        <w:rPr>
          <w:rFonts w:ascii="Arial" w:hAnsi="Arial" w:cs="Arial"/>
        </w:rPr>
      </w:pPr>
      <w:r w:rsidRPr="00D70CBF">
        <w:rPr>
          <w:rFonts w:ascii="Arial" w:hAnsi="Arial" w:cs="Arial"/>
        </w:rPr>
        <w:t>a full range of assessment methods used, for example, observation and use of product evidence</w:t>
      </w:r>
      <w:r w:rsidR="001B6496">
        <w:rPr>
          <w:rFonts w:ascii="Arial" w:hAnsi="Arial" w:cs="Arial"/>
        </w:rPr>
        <w:t>.</w:t>
      </w:r>
    </w:p>
    <w:p w:rsidR="00D659DD" w:rsidRDefault="00D659DD" w:rsidP="00D659DD">
      <w:pPr>
        <w:rPr>
          <w:spacing w:val="2"/>
          <w:sz w:val="22"/>
        </w:rPr>
      </w:pPr>
    </w:p>
    <w:p w:rsidR="00D659DD" w:rsidRPr="00430F4A" w:rsidRDefault="00D659DD" w:rsidP="00207BD3">
      <w:pPr>
        <w:spacing w:after="120"/>
        <w:jc w:val="both"/>
        <w:rPr>
          <w:spacing w:val="2"/>
          <w:sz w:val="22"/>
          <w:u w:val="single"/>
        </w:rPr>
      </w:pPr>
      <w:r w:rsidRPr="00430F4A">
        <w:rPr>
          <w:spacing w:val="2"/>
          <w:sz w:val="22"/>
          <w:u w:val="single"/>
        </w:rPr>
        <w:t>3.2</w:t>
      </w:r>
      <w:r w:rsidRPr="00430F4A">
        <w:rPr>
          <w:spacing w:val="2"/>
          <w:sz w:val="22"/>
          <w:u w:val="single"/>
        </w:rPr>
        <w:tab/>
        <w:t>Risk Assessment</w:t>
      </w:r>
    </w:p>
    <w:p w:rsidR="00D659DD" w:rsidRDefault="00D659DD" w:rsidP="00D659DD">
      <w:pPr>
        <w:pStyle w:val="BodyText2"/>
        <w:ind w:left="720"/>
        <w:jc w:val="left"/>
        <w:rPr>
          <w:spacing w:val="2"/>
        </w:rPr>
      </w:pPr>
      <w:r>
        <w:rPr>
          <w:spacing w:val="2"/>
        </w:rPr>
        <w:t>In order to promote appropriate levels of monitoring of centres,</w:t>
      </w:r>
      <w:r w:rsidR="0057711E">
        <w:rPr>
          <w:spacing w:val="2"/>
        </w:rPr>
        <w:t xml:space="preserve"> </w:t>
      </w:r>
      <w:r>
        <w:rPr>
          <w:spacing w:val="2"/>
        </w:rPr>
        <w:t xml:space="preserve">awarding bodies </w:t>
      </w:r>
      <w:r w:rsidR="00A95059">
        <w:rPr>
          <w:spacing w:val="2"/>
        </w:rPr>
        <w:t>should</w:t>
      </w:r>
      <w:r>
        <w:rPr>
          <w:spacing w:val="2"/>
        </w:rPr>
        <w:t xml:space="preserve"> adopt a risk management system.  This approach is consistent with the approach taken by the regulatory authorities.  Where there is a risk to the quality and consistency of assessment</w:t>
      </w:r>
      <w:r w:rsidR="00677988">
        <w:rPr>
          <w:spacing w:val="2"/>
        </w:rPr>
        <w:t>,</w:t>
      </w:r>
      <w:r>
        <w:rPr>
          <w:spacing w:val="2"/>
        </w:rPr>
        <w:t xml:space="preserve"> </w:t>
      </w:r>
      <w:r w:rsidR="00677988">
        <w:rPr>
          <w:spacing w:val="2"/>
        </w:rPr>
        <w:t>e</w:t>
      </w:r>
      <w:r w:rsidR="00FF39E6">
        <w:rPr>
          <w:spacing w:val="2"/>
        </w:rPr>
        <w:t>.</w:t>
      </w:r>
      <w:r w:rsidR="007126CF">
        <w:rPr>
          <w:spacing w:val="2"/>
        </w:rPr>
        <w:t>g</w:t>
      </w:r>
      <w:r w:rsidR="00677988">
        <w:rPr>
          <w:spacing w:val="2"/>
        </w:rPr>
        <w:t>.,</w:t>
      </w:r>
      <w:r>
        <w:rPr>
          <w:spacing w:val="2"/>
        </w:rPr>
        <w:t xml:space="preserve"> as a result of commercial interests or as a </w:t>
      </w:r>
      <w:r w:rsidR="001319CE">
        <w:rPr>
          <w:spacing w:val="2"/>
        </w:rPr>
        <w:t>result of</w:t>
      </w:r>
      <w:r>
        <w:rPr>
          <w:spacing w:val="2"/>
        </w:rPr>
        <w:t xml:space="preserve"> relationships between candidates and assessors</w:t>
      </w:r>
      <w:r w:rsidR="001319CE">
        <w:rPr>
          <w:spacing w:val="2"/>
        </w:rPr>
        <w:t>, awarding</w:t>
      </w:r>
      <w:r>
        <w:rPr>
          <w:spacing w:val="2"/>
        </w:rPr>
        <w:t xml:space="preserve"> bodies should ensure that appropriate mechanisms are in place to ensure the reliability of the assessment.    </w:t>
      </w:r>
    </w:p>
    <w:p w:rsidR="00D659DD" w:rsidRDefault="00D659DD" w:rsidP="00D659DD">
      <w:pPr>
        <w:pStyle w:val="BodyText2"/>
        <w:ind w:left="720"/>
        <w:jc w:val="left"/>
        <w:rPr>
          <w:spacing w:val="2"/>
        </w:rPr>
      </w:pPr>
    </w:p>
    <w:p w:rsidR="00D659DD" w:rsidRDefault="00A95059" w:rsidP="00D659DD">
      <w:pPr>
        <w:pStyle w:val="BodyText2"/>
        <w:ind w:left="720"/>
        <w:jc w:val="left"/>
        <w:rPr>
          <w:spacing w:val="2"/>
        </w:rPr>
      </w:pPr>
      <w:r>
        <w:rPr>
          <w:spacing w:val="2"/>
        </w:rPr>
        <w:t>Awarding bodies should ensure</w:t>
      </w:r>
      <w:r w:rsidR="00D659DD">
        <w:rPr>
          <w:spacing w:val="2"/>
        </w:rPr>
        <w:t xml:space="preserve"> that a risk assessment has been carried out for each approved centre and that a strategy to minimise the risk has been implemented.</w:t>
      </w:r>
    </w:p>
    <w:p w:rsidR="00D659DD" w:rsidRDefault="00D659DD" w:rsidP="00D659DD">
      <w:pPr>
        <w:pStyle w:val="BodyText2"/>
        <w:ind w:left="720"/>
        <w:jc w:val="left"/>
        <w:rPr>
          <w:spacing w:val="2"/>
        </w:rPr>
      </w:pPr>
    </w:p>
    <w:p w:rsidR="00D659DD" w:rsidRPr="00430F4A" w:rsidRDefault="00D659DD" w:rsidP="00207BD3">
      <w:pPr>
        <w:pStyle w:val="BodyText2"/>
        <w:spacing w:after="120"/>
        <w:jc w:val="left"/>
        <w:rPr>
          <w:spacing w:val="2"/>
          <w:u w:val="single"/>
        </w:rPr>
      </w:pPr>
      <w:r w:rsidRPr="00430F4A">
        <w:rPr>
          <w:spacing w:val="2"/>
          <w:u w:val="single"/>
        </w:rPr>
        <w:t>3.3</w:t>
      </w:r>
      <w:r w:rsidRPr="00430F4A">
        <w:rPr>
          <w:spacing w:val="2"/>
          <w:u w:val="single"/>
        </w:rPr>
        <w:tab/>
        <w:t>Awarding Body</w:t>
      </w:r>
      <w:r w:rsidR="0057711E" w:rsidRPr="00430F4A">
        <w:rPr>
          <w:spacing w:val="2"/>
          <w:u w:val="single"/>
        </w:rPr>
        <w:t xml:space="preserve"> Meetings</w:t>
      </w:r>
    </w:p>
    <w:p w:rsidR="00D659DD" w:rsidRDefault="0057711E" w:rsidP="0057711E">
      <w:pPr>
        <w:pStyle w:val="BodyText2"/>
        <w:ind w:left="720"/>
        <w:jc w:val="left"/>
        <w:rPr>
          <w:spacing w:val="2"/>
        </w:rPr>
      </w:pPr>
      <w:r>
        <w:rPr>
          <w:spacing w:val="2"/>
        </w:rPr>
        <w:t xml:space="preserve">The </w:t>
      </w:r>
      <w:r w:rsidR="00714BFC" w:rsidRPr="00714BFC">
        <w:rPr>
          <w:spacing w:val="2"/>
        </w:rPr>
        <w:t>FS</w:t>
      </w:r>
      <w:r w:rsidR="00DB06FA">
        <w:rPr>
          <w:spacing w:val="2"/>
        </w:rPr>
        <w:t>P</w:t>
      </w:r>
      <w:r w:rsidR="00D659DD">
        <w:rPr>
          <w:i/>
          <w:spacing w:val="2"/>
        </w:rPr>
        <w:t xml:space="preserve"> </w:t>
      </w:r>
      <w:r w:rsidR="00D659DD">
        <w:rPr>
          <w:spacing w:val="2"/>
        </w:rPr>
        <w:t xml:space="preserve">will arrange regular </w:t>
      </w:r>
      <w:r>
        <w:rPr>
          <w:spacing w:val="2"/>
        </w:rPr>
        <w:t>meetings with awarding bod</w:t>
      </w:r>
      <w:r w:rsidR="00C25DE2">
        <w:rPr>
          <w:spacing w:val="2"/>
        </w:rPr>
        <w:t>ies</w:t>
      </w:r>
      <w:r w:rsidR="00D659DD">
        <w:rPr>
          <w:spacing w:val="2"/>
        </w:rPr>
        <w:t xml:space="preserve">.  The aim of the meetings will be to promote consistency in the assessment process.  </w:t>
      </w:r>
      <w:r w:rsidR="00DB06FA">
        <w:rPr>
          <w:spacing w:val="2"/>
        </w:rPr>
        <w:t>All awarding bodies offering S</w:t>
      </w:r>
      <w:r w:rsidR="00D659DD">
        <w:rPr>
          <w:spacing w:val="2"/>
        </w:rPr>
        <w:t xml:space="preserve">VQs in </w:t>
      </w:r>
      <w:r w:rsidR="00D36DDC">
        <w:rPr>
          <w:spacing w:val="2"/>
        </w:rPr>
        <w:t>Providing</w:t>
      </w:r>
      <w:r w:rsidR="002D4102">
        <w:rPr>
          <w:spacing w:val="2"/>
        </w:rPr>
        <w:t xml:space="preserve"> Financial Services</w:t>
      </w:r>
      <w:r w:rsidR="00D659DD">
        <w:rPr>
          <w:spacing w:val="2"/>
        </w:rPr>
        <w:t xml:space="preserve"> will be</w:t>
      </w:r>
      <w:r w:rsidR="00A95059">
        <w:rPr>
          <w:spacing w:val="2"/>
        </w:rPr>
        <w:t xml:space="preserve"> expected</w:t>
      </w:r>
      <w:r w:rsidR="002D4102">
        <w:rPr>
          <w:spacing w:val="2"/>
        </w:rPr>
        <w:t xml:space="preserve"> to attend </w:t>
      </w:r>
      <w:r w:rsidR="00D70CBF">
        <w:rPr>
          <w:spacing w:val="2"/>
        </w:rPr>
        <w:t xml:space="preserve">one </w:t>
      </w:r>
      <w:r w:rsidR="00DB06FA">
        <w:rPr>
          <w:spacing w:val="2"/>
        </w:rPr>
        <w:t>FSP</w:t>
      </w:r>
      <w:r w:rsidR="00C25DE2">
        <w:rPr>
          <w:spacing w:val="2"/>
        </w:rPr>
        <w:t xml:space="preserve"> meeting</w:t>
      </w:r>
      <w:r w:rsidR="00D659DD">
        <w:rPr>
          <w:spacing w:val="2"/>
        </w:rPr>
        <w:t xml:space="preserve"> per year.</w:t>
      </w:r>
    </w:p>
    <w:p w:rsidR="00925E6A" w:rsidRDefault="00925E6A" w:rsidP="00925E6A">
      <w:pPr>
        <w:spacing w:line="360" w:lineRule="auto"/>
        <w:rPr>
          <w:sz w:val="22"/>
        </w:rPr>
      </w:pPr>
    </w:p>
    <w:p w:rsidR="00D659DD" w:rsidRPr="00430F4A" w:rsidRDefault="00D659DD" w:rsidP="00207BD3">
      <w:pPr>
        <w:pStyle w:val="Heading3"/>
        <w:numPr>
          <w:ilvl w:val="0"/>
          <w:numId w:val="10"/>
        </w:numPr>
        <w:spacing w:after="240"/>
        <w:jc w:val="left"/>
        <w:rPr>
          <w:sz w:val="24"/>
          <w:szCs w:val="24"/>
        </w:rPr>
      </w:pPr>
      <w:r w:rsidRPr="00430F4A">
        <w:rPr>
          <w:sz w:val="24"/>
          <w:szCs w:val="24"/>
        </w:rPr>
        <w:t xml:space="preserve">Evidence </w:t>
      </w:r>
    </w:p>
    <w:p w:rsidR="00D659DD" w:rsidRPr="00430F4A" w:rsidRDefault="00D659DD" w:rsidP="00207BD3">
      <w:pPr>
        <w:spacing w:after="120"/>
        <w:rPr>
          <w:noProof/>
          <w:sz w:val="22"/>
          <w:szCs w:val="22"/>
          <w:u w:val="single"/>
        </w:rPr>
      </w:pPr>
      <w:r w:rsidRPr="00430F4A">
        <w:rPr>
          <w:noProof/>
          <w:sz w:val="22"/>
          <w:u w:val="single"/>
        </w:rPr>
        <w:t xml:space="preserve">4.1    </w:t>
      </w:r>
      <w:r w:rsidRPr="00430F4A">
        <w:rPr>
          <w:noProof/>
          <w:sz w:val="22"/>
          <w:u w:val="single"/>
        </w:rPr>
        <w:tab/>
      </w:r>
      <w:r w:rsidRPr="00430F4A">
        <w:rPr>
          <w:noProof/>
          <w:sz w:val="22"/>
          <w:szCs w:val="22"/>
          <w:u w:val="single"/>
        </w:rPr>
        <w:t xml:space="preserve">Evidence </w:t>
      </w:r>
    </w:p>
    <w:p w:rsidR="00F02A4E" w:rsidRDefault="00D659DD" w:rsidP="00F02A4E">
      <w:pPr>
        <w:ind w:left="720"/>
        <w:rPr>
          <w:rFonts w:cs="Arial"/>
          <w:sz w:val="22"/>
          <w:szCs w:val="22"/>
        </w:rPr>
      </w:pPr>
      <w:r w:rsidRPr="000B320E">
        <w:rPr>
          <w:sz w:val="22"/>
          <w:szCs w:val="22"/>
        </w:rPr>
        <w:t xml:space="preserve">Wherever possible, evidence of occupational competence should be generated and collected through performance under workplace conditions (see section 4.2 below).  </w:t>
      </w:r>
      <w:r w:rsidR="00F02A4E" w:rsidRPr="000B320E">
        <w:rPr>
          <w:rFonts w:cs="Arial"/>
          <w:sz w:val="22"/>
          <w:szCs w:val="22"/>
        </w:rPr>
        <w:t>Evidence must be authentic, current, sufficient for purpose and valid – and should come from real work produced in the workplace</w:t>
      </w:r>
      <w:r w:rsidR="00A95059">
        <w:rPr>
          <w:rFonts w:cs="Arial"/>
          <w:sz w:val="22"/>
          <w:szCs w:val="22"/>
        </w:rPr>
        <w:t>.</w:t>
      </w:r>
    </w:p>
    <w:p w:rsidR="00A95059" w:rsidRPr="000B320E" w:rsidRDefault="00A95059" w:rsidP="00F02A4E">
      <w:pPr>
        <w:ind w:left="720"/>
        <w:rPr>
          <w:rFonts w:cs="Arial"/>
          <w:sz w:val="22"/>
          <w:szCs w:val="22"/>
        </w:rPr>
      </w:pPr>
    </w:p>
    <w:p w:rsidR="00D659DD" w:rsidRDefault="00D659DD" w:rsidP="00D659DD">
      <w:pPr>
        <w:pStyle w:val="BodyTextIndent2"/>
      </w:pPr>
      <w:r>
        <w:lastRenderedPageBreak/>
        <w:t>There may, however, be situations where the actual workplace may not be appropriate, or where waiting for naturally occurring evidence is impractical</w:t>
      </w:r>
      <w:r w:rsidR="001B6496">
        <w:t>,</w:t>
      </w:r>
      <w:r>
        <w:t xml:space="preserve"> and therefore simulation may be necessary.  Guidance on simulation is provided in section 4.3.</w:t>
      </w:r>
    </w:p>
    <w:p w:rsidR="007D306B" w:rsidRDefault="007D306B" w:rsidP="00D659DD">
      <w:pPr>
        <w:pStyle w:val="BodyTextIndent2"/>
      </w:pPr>
    </w:p>
    <w:p w:rsidR="007D306B" w:rsidRPr="00C80556" w:rsidRDefault="007D306B" w:rsidP="00D659DD">
      <w:pPr>
        <w:pStyle w:val="BodyTextIndent2"/>
      </w:pPr>
      <w:r w:rsidRPr="00C80556">
        <w:t>Examples of suitable workplace environments to gather evidence would be:</w:t>
      </w:r>
    </w:p>
    <w:p w:rsidR="007D306B" w:rsidRPr="00C80556" w:rsidRDefault="007D306B" w:rsidP="00D659DD">
      <w:pPr>
        <w:pStyle w:val="BodyTextIndent2"/>
      </w:pPr>
    </w:p>
    <w:p w:rsidR="007D306B" w:rsidRPr="00C80556" w:rsidRDefault="007D306B" w:rsidP="007D306B">
      <w:pPr>
        <w:pStyle w:val="BodyTextIndent2"/>
        <w:numPr>
          <w:ilvl w:val="0"/>
          <w:numId w:val="36"/>
        </w:numPr>
      </w:pPr>
      <w:r w:rsidRPr="00C80556">
        <w:t>Banking or Building Societies</w:t>
      </w:r>
    </w:p>
    <w:p w:rsidR="007D306B" w:rsidRPr="00C80556" w:rsidRDefault="007D306B" w:rsidP="007D306B">
      <w:pPr>
        <w:pStyle w:val="BodyTextIndent2"/>
        <w:numPr>
          <w:ilvl w:val="0"/>
          <w:numId w:val="36"/>
        </w:numPr>
      </w:pPr>
      <w:r w:rsidRPr="00C80556">
        <w:t>Insurance Organisations</w:t>
      </w:r>
    </w:p>
    <w:p w:rsidR="007D306B" w:rsidRPr="00C80556" w:rsidRDefault="007D306B" w:rsidP="007D306B">
      <w:pPr>
        <w:pStyle w:val="BodyTextIndent2"/>
        <w:numPr>
          <w:ilvl w:val="0"/>
          <w:numId w:val="36"/>
        </w:numPr>
      </w:pPr>
      <w:r w:rsidRPr="00C80556">
        <w:t>Investment Organisations</w:t>
      </w:r>
    </w:p>
    <w:p w:rsidR="007D306B" w:rsidRPr="00C80556" w:rsidRDefault="007D306B" w:rsidP="007D306B">
      <w:pPr>
        <w:pStyle w:val="BodyTextIndent2"/>
        <w:numPr>
          <w:ilvl w:val="0"/>
          <w:numId w:val="36"/>
        </w:numPr>
      </w:pPr>
      <w:r w:rsidRPr="00C80556">
        <w:t>Credit organisations</w:t>
      </w:r>
    </w:p>
    <w:p w:rsidR="007D306B" w:rsidRPr="00C80556" w:rsidRDefault="007D306B" w:rsidP="007D306B">
      <w:pPr>
        <w:pStyle w:val="BodyTextIndent2"/>
        <w:numPr>
          <w:ilvl w:val="0"/>
          <w:numId w:val="36"/>
        </w:numPr>
      </w:pPr>
      <w:r w:rsidRPr="00C80556">
        <w:t>Debt Collection Agencies</w:t>
      </w:r>
    </w:p>
    <w:p w:rsidR="007D306B" w:rsidRPr="00C80556" w:rsidRDefault="007D306B" w:rsidP="007D306B">
      <w:pPr>
        <w:pStyle w:val="BodyTextIndent2"/>
        <w:numPr>
          <w:ilvl w:val="0"/>
          <w:numId w:val="36"/>
        </w:numPr>
      </w:pPr>
      <w:r w:rsidRPr="00C80556">
        <w:t>Pensions sector organisations</w:t>
      </w:r>
    </w:p>
    <w:p w:rsidR="007D306B" w:rsidRPr="00C80556" w:rsidRDefault="007D306B" w:rsidP="007D306B">
      <w:pPr>
        <w:pStyle w:val="BodyTextIndent2"/>
        <w:numPr>
          <w:ilvl w:val="0"/>
          <w:numId w:val="36"/>
        </w:numPr>
      </w:pPr>
      <w:r w:rsidRPr="00C80556">
        <w:t>Financial Planning Organisations</w:t>
      </w:r>
    </w:p>
    <w:p w:rsidR="007D306B" w:rsidRPr="00C80556" w:rsidRDefault="007D306B" w:rsidP="007D306B">
      <w:pPr>
        <w:pStyle w:val="BodyTextIndent2"/>
        <w:numPr>
          <w:ilvl w:val="0"/>
          <w:numId w:val="36"/>
        </w:numPr>
      </w:pPr>
      <w:r w:rsidRPr="00C80556">
        <w:t>Mortgage Administration departments</w:t>
      </w:r>
    </w:p>
    <w:p w:rsidR="007D306B" w:rsidRPr="00C80556" w:rsidRDefault="007D306B" w:rsidP="007D306B">
      <w:pPr>
        <w:pStyle w:val="BodyTextIndent2"/>
        <w:numPr>
          <w:ilvl w:val="0"/>
          <w:numId w:val="36"/>
        </w:numPr>
      </w:pPr>
      <w:r w:rsidRPr="00C80556">
        <w:t>Customer Service departments within financial institutions</w:t>
      </w:r>
    </w:p>
    <w:p w:rsidR="00677988" w:rsidRDefault="00677988" w:rsidP="00D659DD">
      <w:pPr>
        <w:rPr>
          <w:noProof/>
        </w:rPr>
      </w:pPr>
    </w:p>
    <w:p w:rsidR="00D659DD" w:rsidRDefault="00D659DD" w:rsidP="00677988">
      <w:pPr>
        <w:spacing w:after="120"/>
        <w:ind w:left="720"/>
        <w:rPr>
          <w:sz w:val="22"/>
        </w:rPr>
      </w:pPr>
      <w:r>
        <w:rPr>
          <w:sz w:val="22"/>
        </w:rPr>
        <w:t>In all cases</w:t>
      </w:r>
      <w:r w:rsidRPr="004F6F01">
        <w:rPr>
          <w:sz w:val="22"/>
        </w:rPr>
        <w:t>, the evidence</w:t>
      </w:r>
      <w:r>
        <w:rPr>
          <w:sz w:val="22"/>
        </w:rPr>
        <w:t xml:space="preserve"> provided should demonstrate that candidates:</w:t>
      </w:r>
    </w:p>
    <w:p w:rsidR="00D659DD" w:rsidRDefault="00D659DD" w:rsidP="00ED4337">
      <w:pPr>
        <w:numPr>
          <w:ilvl w:val="0"/>
          <w:numId w:val="5"/>
        </w:numPr>
        <w:tabs>
          <w:tab w:val="clear" w:pos="1440"/>
          <w:tab w:val="num" w:pos="1260"/>
        </w:tabs>
        <w:spacing w:after="60"/>
        <w:ind w:left="1260"/>
        <w:rPr>
          <w:sz w:val="22"/>
        </w:rPr>
      </w:pPr>
      <w:r>
        <w:rPr>
          <w:sz w:val="22"/>
        </w:rPr>
        <w:t>have achieved all the stated performance outcomes;</w:t>
      </w:r>
    </w:p>
    <w:p w:rsidR="00D659DD" w:rsidRDefault="00693D9B" w:rsidP="00ED4337">
      <w:pPr>
        <w:numPr>
          <w:ilvl w:val="0"/>
          <w:numId w:val="5"/>
        </w:numPr>
        <w:tabs>
          <w:tab w:val="clear" w:pos="1440"/>
          <w:tab w:val="num" w:pos="1260"/>
        </w:tabs>
        <w:spacing w:after="60"/>
        <w:ind w:left="1260"/>
        <w:rPr>
          <w:sz w:val="22"/>
        </w:rPr>
      </w:pPr>
      <w:r>
        <w:rPr>
          <w:sz w:val="22"/>
        </w:rPr>
        <w:t>possess and</w:t>
      </w:r>
      <w:r w:rsidR="00D659DD">
        <w:rPr>
          <w:sz w:val="22"/>
        </w:rPr>
        <w:t xml:space="preserve"> are capable of applying all the required items of knowledge and understanding.</w:t>
      </w:r>
    </w:p>
    <w:p w:rsidR="00D659DD" w:rsidRDefault="00D659DD" w:rsidP="00D659DD">
      <w:pPr>
        <w:rPr>
          <w:sz w:val="22"/>
        </w:rPr>
      </w:pPr>
    </w:p>
    <w:p w:rsidR="00D659DD" w:rsidRDefault="00D659DD" w:rsidP="00D659DD">
      <w:pPr>
        <w:pStyle w:val="BodyText2"/>
        <w:ind w:left="720"/>
        <w:jc w:val="left"/>
      </w:pPr>
      <w:r>
        <w:t>Additional guidance on evidence requirements will be specified a</w:t>
      </w:r>
      <w:r w:rsidR="00A95059">
        <w:t>t unit level; this guidance may</w:t>
      </w:r>
      <w:r>
        <w:t xml:space="preserve"> be developed by</w:t>
      </w:r>
      <w:r w:rsidR="00C25DE2">
        <w:t xml:space="preserve"> the</w:t>
      </w:r>
      <w:r>
        <w:t xml:space="preserve"> </w:t>
      </w:r>
      <w:r w:rsidR="00DB06FA">
        <w:t>FSP</w:t>
      </w:r>
      <w:r>
        <w:t xml:space="preserve"> in partnership with awarding bodies</w:t>
      </w:r>
      <w:r w:rsidR="00250AD6">
        <w:t xml:space="preserve"> or by individual </w:t>
      </w:r>
      <w:r w:rsidR="00BD6358">
        <w:t>a</w:t>
      </w:r>
      <w:r w:rsidR="00250AD6">
        <w:t xml:space="preserve">warding </w:t>
      </w:r>
      <w:r w:rsidR="00BD6358">
        <w:t>b</w:t>
      </w:r>
      <w:r w:rsidR="00250AD6">
        <w:t>odies</w:t>
      </w:r>
      <w:r>
        <w:t>.</w:t>
      </w:r>
    </w:p>
    <w:p w:rsidR="00991FA8" w:rsidRDefault="00991FA8" w:rsidP="00D659DD">
      <w:pPr>
        <w:rPr>
          <w:noProof/>
          <w:sz w:val="22"/>
        </w:rPr>
      </w:pPr>
    </w:p>
    <w:p w:rsidR="00D659DD" w:rsidRPr="00430F4A" w:rsidRDefault="00D659DD" w:rsidP="00207BD3">
      <w:pPr>
        <w:spacing w:after="120"/>
        <w:rPr>
          <w:noProof/>
          <w:sz w:val="22"/>
          <w:u w:val="single"/>
        </w:rPr>
      </w:pPr>
      <w:r w:rsidRPr="00430F4A">
        <w:rPr>
          <w:noProof/>
          <w:sz w:val="22"/>
          <w:u w:val="single"/>
        </w:rPr>
        <w:t xml:space="preserve">4.2    </w:t>
      </w:r>
      <w:r w:rsidRPr="00430F4A">
        <w:rPr>
          <w:noProof/>
          <w:sz w:val="22"/>
          <w:u w:val="single"/>
        </w:rPr>
        <w:tab/>
        <w:t>Evidence from Workplace Performance</w:t>
      </w:r>
    </w:p>
    <w:p w:rsidR="00D659DD" w:rsidRDefault="00D659DD" w:rsidP="00D659DD">
      <w:pPr>
        <w:pStyle w:val="BodyText2"/>
        <w:ind w:left="720"/>
        <w:jc w:val="left"/>
      </w:pPr>
      <w:r>
        <w:t>It is accepted that not all employees have identical workplace conditions and therefore there cannot be assessment conditions that are identical for all candidates.</w:t>
      </w:r>
      <w:r w:rsidR="001B6496">
        <w:t xml:space="preserve"> </w:t>
      </w:r>
      <w:r>
        <w:t xml:space="preserve"> However, assessors must ensure that, as far as possible, the conditions for assessment should be those under which the candidate usually works.</w:t>
      </w:r>
      <w:r w:rsidR="001B6496">
        <w:t xml:space="preserve"> </w:t>
      </w:r>
      <w:r>
        <w:t xml:space="preserve"> The evidence collected under these conditions should also be as naturally occurring as possible.</w:t>
      </w:r>
    </w:p>
    <w:p w:rsidR="00D659DD" w:rsidRDefault="00D659DD" w:rsidP="00D659DD">
      <w:pPr>
        <w:ind w:left="720"/>
        <w:rPr>
          <w:sz w:val="22"/>
        </w:rPr>
      </w:pPr>
    </w:p>
    <w:p w:rsidR="00D659DD" w:rsidRDefault="00D659DD" w:rsidP="00D659DD">
      <w:pPr>
        <w:ind w:left="720"/>
        <w:rPr>
          <w:sz w:val="22"/>
        </w:rPr>
      </w:pPr>
      <w:r>
        <w:rPr>
          <w:sz w:val="22"/>
        </w:rPr>
        <w:t>Evidence from the workplace includes observable performance, physical products of work (such as reports, plans, correspondence), witness testimony</w:t>
      </w:r>
      <w:r w:rsidR="001B6496">
        <w:rPr>
          <w:sz w:val="22"/>
        </w:rPr>
        <w:t>,</w:t>
      </w:r>
      <w:r>
        <w:rPr>
          <w:sz w:val="22"/>
        </w:rPr>
        <w:t xml:space="preserve"> etc. </w:t>
      </w:r>
    </w:p>
    <w:p w:rsidR="008A6159" w:rsidRDefault="008A6159" w:rsidP="00D659DD">
      <w:pPr>
        <w:ind w:left="720"/>
        <w:rPr>
          <w:sz w:val="22"/>
        </w:rPr>
      </w:pPr>
    </w:p>
    <w:p w:rsidR="008A6159" w:rsidRPr="003C21DD" w:rsidRDefault="008A6159" w:rsidP="00E76C32">
      <w:pPr>
        <w:pStyle w:val="g-text"/>
        <w:spacing w:before="0" w:after="0"/>
        <w:ind w:left="720"/>
        <w:rPr>
          <w:rFonts w:ascii="Arial" w:hAnsi="Arial" w:cs="Arial"/>
          <w:szCs w:val="22"/>
        </w:rPr>
      </w:pPr>
      <w:r w:rsidRPr="003C21DD">
        <w:rPr>
          <w:rFonts w:ascii="Arial" w:hAnsi="Arial" w:cs="Arial"/>
          <w:szCs w:val="22"/>
        </w:rPr>
        <w:t>Candidates must also demonstrate that they meet the requirements of relevant regulatory bodies operating within the sector, in particular, the Financial Services Authority</w:t>
      </w:r>
      <w:r w:rsidR="001B6496">
        <w:rPr>
          <w:rFonts w:ascii="Arial" w:hAnsi="Arial" w:cs="Arial"/>
          <w:szCs w:val="22"/>
        </w:rPr>
        <w:t xml:space="preserve"> (FSA)</w:t>
      </w:r>
      <w:r w:rsidRPr="003C21DD">
        <w:rPr>
          <w:rFonts w:ascii="Arial" w:hAnsi="Arial" w:cs="Arial"/>
          <w:szCs w:val="22"/>
        </w:rPr>
        <w:t>, as they apply to qualifications comprising NOS.</w:t>
      </w:r>
    </w:p>
    <w:p w:rsidR="008A6159" w:rsidRDefault="008A6159" w:rsidP="00D659DD">
      <w:pPr>
        <w:ind w:left="720"/>
        <w:rPr>
          <w:sz w:val="22"/>
        </w:rPr>
      </w:pPr>
    </w:p>
    <w:p w:rsidR="00D659DD" w:rsidRPr="00403D9E" w:rsidRDefault="00D659DD" w:rsidP="00207BD3">
      <w:pPr>
        <w:tabs>
          <w:tab w:val="left" w:pos="720"/>
        </w:tabs>
        <w:spacing w:after="120"/>
        <w:jc w:val="both"/>
        <w:rPr>
          <w:color w:val="000000"/>
          <w:spacing w:val="2"/>
          <w:kern w:val="0"/>
          <w:sz w:val="22"/>
        </w:rPr>
      </w:pPr>
      <w:r w:rsidRPr="00430F4A">
        <w:rPr>
          <w:sz w:val="22"/>
          <w:u w:val="single"/>
        </w:rPr>
        <w:t>4</w:t>
      </w:r>
      <w:r w:rsidRPr="00403D9E">
        <w:rPr>
          <w:color w:val="000000"/>
          <w:spacing w:val="2"/>
          <w:kern w:val="0"/>
          <w:sz w:val="22"/>
        </w:rPr>
        <w:t xml:space="preserve">.3  </w:t>
      </w:r>
      <w:r w:rsidRPr="00403D9E">
        <w:rPr>
          <w:color w:val="000000"/>
          <w:spacing w:val="2"/>
          <w:kern w:val="0"/>
          <w:sz w:val="22"/>
        </w:rPr>
        <w:tab/>
      </w:r>
      <w:r w:rsidRPr="00403D9E">
        <w:rPr>
          <w:color w:val="000000"/>
          <w:spacing w:val="2"/>
          <w:kern w:val="0"/>
          <w:sz w:val="22"/>
          <w:u w:val="single"/>
        </w:rPr>
        <w:t>Use of Simulation in Assessments</w:t>
      </w:r>
    </w:p>
    <w:p w:rsidR="00460B14" w:rsidRPr="00403D9E" w:rsidRDefault="00460B14" w:rsidP="00ED4337">
      <w:pPr>
        <w:pStyle w:val="BodyText2"/>
        <w:tabs>
          <w:tab w:val="num" w:pos="720"/>
        </w:tabs>
        <w:ind w:left="720"/>
        <w:jc w:val="left"/>
        <w:rPr>
          <w:spacing w:val="2"/>
        </w:rPr>
      </w:pPr>
    </w:p>
    <w:p w:rsidR="00460B14" w:rsidRPr="00403D9E" w:rsidRDefault="00403D9E" w:rsidP="00460B14">
      <w:pPr>
        <w:autoSpaceDE w:val="0"/>
        <w:autoSpaceDN w:val="0"/>
        <w:adjustRightInd w:val="0"/>
        <w:ind w:left="284"/>
        <w:jc w:val="both"/>
        <w:rPr>
          <w:color w:val="000000"/>
          <w:spacing w:val="2"/>
          <w:kern w:val="0"/>
          <w:sz w:val="22"/>
        </w:rPr>
      </w:pPr>
      <w:r>
        <w:rPr>
          <w:color w:val="000000"/>
          <w:spacing w:val="2"/>
          <w:kern w:val="0"/>
          <w:sz w:val="22"/>
        </w:rPr>
        <w:tab/>
      </w:r>
      <w:r w:rsidR="00460B14" w:rsidRPr="00403D9E">
        <w:rPr>
          <w:color w:val="000000"/>
          <w:spacing w:val="2"/>
          <w:kern w:val="0"/>
          <w:sz w:val="22"/>
        </w:rPr>
        <w:t xml:space="preserve">The use of simulations should only be undertaken in the minority of cases i.e. where </w:t>
      </w:r>
      <w:r>
        <w:rPr>
          <w:color w:val="000000"/>
          <w:spacing w:val="2"/>
          <w:kern w:val="0"/>
          <w:sz w:val="22"/>
        </w:rPr>
        <w:tab/>
      </w:r>
      <w:r w:rsidR="00460B14" w:rsidRPr="00403D9E">
        <w:rPr>
          <w:color w:val="000000"/>
          <w:spacing w:val="2"/>
          <w:kern w:val="0"/>
          <w:sz w:val="22"/>
        </w:rPr>
        <w:t xml:space="preserve">performance is critical and where events infrequently occur and yet a high degree of </w:t>
      </w:r>
      <w:r>
        <w:rPr>
          <w:color w:val="000000"/>
          <w:spacing w:val="2"/>
          <w:kern w:val="0"/>
          <w:sz w:val="22"/>
        </w:rPr>
        <w:tab/>
      </w:r>
      <w:r w:rsidR="00460B14" w:rsidRPr="00403D9E">
        <w:rPr>
          <w:color w:val="000000"/>
          <w:spacing w:val="2"/>
          <w:kern w:val="0"/>
          <w:sz w:val="22"/>
        </w:rPr>
        <w:t>confidence is needed that the candidate would act appropriately.</w:t>
      </w:r>
    </w:p>
    <w:p w:rsidR="00460B14" w:rsidRPr="00403D9E" w:rsidRDefault="00460B14" w:rsidP="00460B14">
      <w:pPr>
        <w:pStyle w:val="Default"/>
        <w:jc w:val="both"/>
        <w:rPr>
          <w:rFonts w:ascii="Arial" w:eastAsia="Times New Roman" w:hAnsi="Arial" w:cs="Times New Roman"/>
          <w:spacing w:val="2"/>
          <w:sz w:val="22"/>
          <w:szCs w:val="20"/>
          <w:lang w:eastAsia="en-GB"/>
        </w:rPr>
      </w:pPr>
    </w:p>
    <w:p w:rsidR="00460B14" w:rsidRPr="00403D9E" w:rsidRDefault="00403D9E" w:rsidP="00460B14">
      <w:pPr>
        <w:widowControl w:val="0"/>
        <w:autoSpaceDE w:val="0"/>
        <w:autoSpaceDN w:val="0"/>
        <w:adjustRightInd w:val="0"/>
        <w:jc w:val="both"/>
        <w:rPr>
          <w:color w:val="000000"/>
          <w:spacing w:val="2"/>
          <w:kern w:val="0"/>
          <w:sz w:val="22"/>
        </w:rPr>
      </w:pPr>
      <w:r>
        <w:rPr>
          <w:color w:val="000000"/>
          <w:spacing w:val="2"/>
          <w:kern w:val="0"/>
          <w:sz w:val="22"/>
        </w:rPr>
        <w:tab/>
      </w:r>
      <w:r w:rsidR="00460B14" w:rsidRPr="00403D9E">
        <w:rPr>
          <w:color w:val="000000"/>
          <w:spacing w:val="2"/>
          <w:kern w:val="0"/>
          <w:sz w:val="22"/>
        </w:rPr>
        <w:t>All simulations should be planned and organised and follow these basic principles:</w:t>
      </w:r>
    </w:p>
    <w:p w:rsidR="00460B14" w:rsidRPr="00403D9E" w:rsidRDefault="00460B14" w:rsidP="00460B14">
      <w:pPr>
        <w:pStyle w:val="Default"/>
        <w:jc w:val="both"/>
        <w:rPr>
          <w:rFonts w:ascii="Arial" w:eastAsia="Times New Roman" w:hAnsi="Arial" w:cs="Times New Roman"/>
          <w:spacing w:val="2"/>
          <w:sz w:val="22"/>
          <w:szCs w:val="20"/>
          <w:lang w:eastAsia="en-GB"/>
        </w:rPr>
      </w:pPr>
    </w:p>
    <w:p w:rsidR="00460B14" w:rsidRPr="00403D9E" w:rsidRDefault="00460B14" w:rsidP="00403D9E">
      <w:pPr>
        <w:pStyle w:val="Default"/>
        <w:numPr>
          <w:ilvl w:val="0"/>
          <w:numId w:val="37"/>
        </w:numPr>
        <w:ind w:left="1276" w:hanging="425"/>
        <w:jc w:val="both"/>
        <w:rPr>
          <w:rFonts w:ascii="Arial" w:eastAsia="Times New Roman" w:hAnsi="Arial" w:cs="Times New Roman"/>
          <w:spacing w:val="2"/>
          <w:sz w:val="22"/>
          <w:szCs w:val="20"/>
          <w:lang w:eastAsia="en-GB"/>
        </w:rPr>
      </w:pPr>
      <w:r w:rsidRPr="00403D9E">
        <w:rPr>
          <w:rFonts w:ascii="Arial" w:eastAsia="Times New Roman" w:hAnsi="Arial" w:cs="Times New Roman"/>
          <w:spacing w:val="2"/>
          <w:sz w:val="22"/>
          <w:szCs w:val="20"/>
          <w:lang w:eastAsia="en-GB"/>
        </w:rPr>
        <w:lastRenderedPageBreak/>
        <w:t xml:space="preserve">A centre’s overall strategy for simulation should be examined and approved by the person from the Awarding Body who is responsible for external quality assurance; </w:t>
      </w:r>
    </w:p>
    <w:p w:rsidR="00460B14" w:rsidRPr="00403D9E" w:rsidRDefault="00460B14" w:rsidP="00403D9E">
      <w:pPr>
        <w:pStyle w:val="Default"/>
        <w:numPr>
          <w:ilvl w:val="0"/>
          <w:numId w:val="37"/>
        </w:numPr>
        <w:ind w:left="1276" w:hanging="425"/>
        <w:jc w:val="both"/>
        <w:rPr>
          <w:rFonts w:ascii="Arial" w:eastAsia="Times New Roman" w:hAnsi="Arial" w:cs="Times New Roman"/>
          <w:spacing w:val="2"/>
          <w:sz w:val="22"/>
          <w:szCs w:val="20"/>
          <w:lang w:eastAsia="en-GB"/>
        </w:rPr>
      </w:pPr>
      <w:r w:rsidRPr="00403D9E">
        <w:rPr>
          <w:rFonts w:ascii="Arial" w:eastAsia="Times New Roman" w:hAnsi="Arial" w:cs="Times New Roman"/>
          <w:spacing w:val="2"/>
          <w:sz w:val="22"/>
          <w:szCs w:val="20"/>
          <w:lang w:eastAsia="en-GB"/>
        </w:rPr>
        <w:t>The</w:t>
      </w:r>
      <w:r w:rsidR="008A3D8A">
        <w:rPr>
          <w:rFonts w:ascii="Arial" w:eastAsia="Times New Roman" w:hAnsi="Arial" w:cs="Times New Roman"/>
          <w:spacing w:val="2"/>
          <w:sz w:val="22"/>
          <w:szCs w:val="20"/>
          <w:lang w:eastAsia="en-GB"/>
        </w:rPr>
        <w:t xml:space="preserve"> conditions</w:t>
      </w:r>
      <w:r w:rsidRPr="00403D9E">
        <w:rPr>
          <w:rFonts w:ascii="Arial" w:eastAsia="Times New Roman" w:hAnsi="Arial" w:cs="Times New Roman"/>
          <w:spacing w:val="2"/>
          <w:sz w:val="22"/>
          <w:szCs w:val="20"/>
          <w:lang w:eastAsia="en-GB"/>
        </w:rPr>
        <w:t xml:space="preserve"> and the physical environment for the simulation must be realistic and </w:t>
      </w:r>
      <w:r w:rsidR="008A3D8A">
        <w:rPr>
          <w:rFonts w:ascii="Arial" w:eastAsia="Times New Roman" w:hAnsi="Arial" w:cs="Times New Roman"/>
          <w:spacing w:val="2"/>
          <w:sz w:val="22"/>
          <w:szCs w:val="20"/>
          <w:lang w:eastAsia="en-GB"/>
        </w:rPr>
        <w:t xml:space="preserve">must </w:t>
      </w:r>
      <w:r w:rsidRPr="00403D9E">
        <w:rPr>
          <w:rFonts w:ascii="Arial" w:eastAsia="Times New Roman" w:hAnsi="Arial" w:cs="Times New Roman"/>
          <w:spacing w:val="2"/>
          <w:sz w:val="22"/>
          <w:szCs w:val="20"/>
          <w:lang w:eastAsia="en-GB"/>
        </w:rPr>
        <w:t xml:space="preserve">resemble the up to date workplace as closely as practicable.  </w:t>
      </w:r>
    </w:p>
    <w:p w:rsidR="00460B14" w:rsidRPr="00403D9E" w:rsidRDefault="00460B14" w:rsidP="00403D9E">
      <w:pPr>
        <w:pStyle w:val="Default"/>
        <w:numPr>
          <w:ilvl w:val="0"/>
          <w:numId w:val="37"/>
        </w:numPr>
        <w:ind w:left="1276" w:hanging="425"/>
        <w:jc w:val="both"/>
        <w:rPr>
          <w:rFonts w:ascii="Arial" w:eastAsia="Times New Roman" w:hAnsi="Arial" w:cs="Times New Roman"/>
          <w:spacing w:val="2"/>
          <w:sz w:val="22"/>
          <w:szCs w:val="20"/>
          <w:lang w:eastAsia="en-GB"/>
        </w:rPr>
      </w:pPr>
      <w:r w:rsidRPr="00403D9E">
        <w:rPr>
          <w:rFonts w:ascii="Arial" w:eastAsia="Times New Roman" w:hAnsi="Arial" w:cs="Times New Roman"/>
          <w:spacing w:val="2"/>
          <w:sz w:val="22"/>
          <w:szCs w:val="20"/>
          <w:lang w:eastAsia="en-GB"/>
        </w:rPr>
        <w:t xml:space="preserve">Attention </w:t>
      </w:r>
      <w:r w:rsidR="008A3D8A">
        <w:rPr>
          <w:rFonts w:ascii="Arial" w:eastAsia="Times New Roman" w:hAnsi="Arial" w:cs="Times New Roman"/>
          <w:spacing w:val="2"/>
          <w:sz w:val="22"/>
          <w:szCs w:val="20"/>
          <w:lang w:eastAsia="en-GB"/>
        </w:rPr>
        <w:t>must</w:t>
      </w:r>
      <w:r w:rsidRPr="00403D9E">
        <w:rPr>
          <w:rFonts w:ascii="Arial" w:eastAsia="Times New Roman" w:hAnsi="Arial" w:cs="Times New Roman"/>
          <w:spacing w:val="2"/>
          <w:sz w:val="22"/>
          <w:szCs w:val="20"/>
          <w:lang w:eastAsia="en-GB"/>
        </w:rPr>
        <w:t xml:space="preserve"> be paid to relevant </w:t>
      </w:r>
      <w:r w:rsidR="00D47BDD">
        <w:rPr>
          <w:rFonts w:ascii="Arial" w:eastAsia="Times New Roman" w:hAnsi="Arial" w:cs="Times New Roman"/>
          <w:spacing w:val="2"/>
          <w:sz w:val="22"/>
          <w:szCs w:val="20"/>
          <w:lang w:eastAsia="en-GB"/>
        </w:rPr>
        <w:t xml:space="preserve">regulatory </w:t>
      </w:r>
      <w:r w:rsidRPr="00403D9E">
        <w:rPr>
          <w:rFonts w:ascii="Arial" w:eastAsia="Times New Roman" w:hAnsi="Arial" w:cs="Times New Roman"/>
          <w:spacing w:val="2"/>
          <w:sz w:val="22"/>
          <w:szCs w:val="20"/>
          <w:lang w:eastAsia="en-GB"/>
        </w:rPr>
        <w:t>requirements; the realism of the setting and any associated equipment; workplace and customer relationships; and the pace and intensity of work-related activity.</w:t>
      </w:r>
    </w:p>
    <w:p w:rsidR="00460B14" w:rsidRPr="00403D9E" w:rsidRDefault="00460B14" w:rsidP="00403D9E">
      <w:pPr>
        <w:pStyle w:val="Default"/>
        <w:widowControl w:val="0"/>
        <w:numPr>
          <w:ilvl w:val="0"/>
          <w:numId w:val="37"/>
        </w:numPr>
        <w:spacing w:after="100" w:afterAutospacing="1"/>
        <w:ind w:left="1276" w:hanging="425"/>
        <w:jc w:val="both"/>
        <w:outlineLvl w:val="1"/>
        <w:rPr>
          <w:rFonts w:ascii="Arial" w:eastAsia="Times New Roman" w:hAnsi="Arial" w:cs="Times New Roman"/>
          <w:spacing w:val="2"/>
          <w:sz w:val="22"/>
          <w:szCs w:val="20"/>
          <w:lang w:eastAsia="en-GB"/>
        </w:rPr>
      </w:pPr>
      <w:r w:rsidRPr="00403D9E">
        <w:rPr>
          <w:rFonts w:ascii="Arial" w:eastAsia="Times New Roman" w:hAnsi="Arial" w:cs="Times New Roman"/>
          <w:spacing w:val="2"/>
          <w:sz w:val="22"/>
          <w:szCs w:val="20"/>
          <w:lang w:eastAsia="en-GB"/>
        </w:rPr>
        <w:t>Where simulations are used, they must reflect the requirements of the qualification units;</w:t>
      </w:r>
    </w:p>
    <w:p w:rsidR="00D659DD" w:rsidRPr="00430F4A" w:rsidRDefault="00D659DD" w:rsidP="00207BD3">
      <w:pPr>
        <w:pStyle w:val="Heading3"/>
        <w:spacing w:after="240"/>
        <w:jc w:val="left"/>
        <w:rPr>
          <w:sz w:val="24"/>
          <w:szCs w:val="24"/>
        </w:rPr>
      </w:pPr>
      <w:r w:rsidRPr="00430F4A">
        <w:rPr>
          <w:sz w:val="24"/>
          <w:szCs w:val="24"/>
        </w:rPr>
        <w:t>5.</w:t>
      </w:r>
      <w:r w:rsidRPr="00430F4A">
        <w:rPr>
          <w:sz w:val="24"/>
          <w:szCs w:val="24"/>
        </w:rPr>
        <w:tab/>
        <w:t>Competence of Assessors and Verifiers</w:t>
      </w:r>
    </w:p>
    <w:p w:rsidR="00D659DD" w:rsidRPr="004F6F01" w:rsidRDefault="00C25DE2" w:rsidP="006F300F">
      <w:pPr>
        <w:pStyle w:val="BodyText"/>
        <w:spacing w:after="0"/>
      </w:pPr>
      <w:r>
        <w:t xml:space="preserve">The </w:t>
      </w:r>
      <w:r w:rsidR="00DB06FA">
        <w:t>FSP</w:t>
      </w:r>
      <w:r w:rsidR="00D659DD" w:rsidRPr="004F6F01">
        <w:t xml:space="preserve"> acknowledges the very important role and re</w:t>
      </w:r>
      <w:r>
        <w:t xml:space="preserve">sponsibility that assessors and </w:t>
      </w:r>
      <w:r w:rsidR="00D659DD" w:rsidRPr="004F6F01">
        <w:t xml:space="preserve">verifiers have in maintaining </w:t>
      </w:r>
      <w:r w:rsidR="00DB06FA">
        <w:t>the quality and integrity of S</w:t>
      </w:r>
      <w:r w:rsidR="00D659DD" w:rsidRPr="004F6F01">
        <w:t xml:space="preserve">VQs.  Awarding bodies and other stakeholders therefore have to have confidence in the actions and decisions of assessors and verifiers.   </w:t>
      </w:r>
    </w:p>
    <w:p w:rsidR="006F300F" w:rsidRPr="00207BD3" w:rsidRDefault="006F300F" w:rsidP="006F300F">
      <w:pPr>
        <w:pStyle w:val="BodyText"/>
        <w:spacing w:after="0"/>
      </w:pPr>
    </w:p>
    <w:p w:rsidR="00B50DDF" w:rsidRDefault="00C25DE2" w:rsidP="006F300F">
      <w:pPr>
        <w:pStyle w:val="BodyText"/>
        <w:spacing w:after="0"/>
      </w:pPr>
      <w:r>
        <w:rPr>
          <w:iCs/>
        </w:rPr>
        <w:t xml:space="preserve">The </w:t>
      </w:r>
      <w:r w:rsidR="00DB06FA">
        <w:rPr>
          <w:iCs/>
        </w:rPr>
        <w:t>FSP</w:t>
      </w:r>
      <w:r w:rsidR="00D659DD" w:rsidRPr="004F6F01">
        <w:rPr>
          <w:i/>
          <w:iCs/>
        </w:rPr>
        <w:t>,</w:t>
      </w:r>
      <w:r w:rsidR="008C67E8">
        <w:t xml:space="preserve"> awarding bodies and employers</w:t>
      </w:r>
      <w:r w:rsidR="00D659DD" w:rsidRPr="004F6F01">
        <w:t xml:space="preserve"> recognise that there </w:t>
      </w:r>
      <w:r w:rsidR="00063E03">
        <w:t xml:space="preserve">may be occasions when there </w:t>
      </w:r>
      <w:r w:rsidR="00D659DD" w:rsidRPr="004F6F01">
        <w:t>are limited opportun</w:t>
      </w:r>
      <w:r w:rsidR="00CE31E4">
        <w:t>ities for workplace assessment</w:t>
      </w:r>
      <w:r w:rsidR="00353417">
        <w:t xml:space="preserve"> </w:t>
      </w:r>
      <w:r w:rsidR="008C67E8">
        <w:t xml:space="preserve">due to </w:t>
      </w:r>
      <w:r w:rsidR="00CE31E4">
        <w:t>l</w:t>
      </w:r>
      <w:r w:rsidR="00D659DD" w:rsidRPr="004F6F01">
        <w:t xml:space="preserve">ogistical difficulties </w:t>
      </w:r>
      <w:r w:rsidR="00CE31E4">
        <w:t xml:space="preserve">and availability of </w:t>
      </w:r>
      <w:r w:rsidR="00D659DD" w:rsidRPr="004F6F01">
        <w:t xml:space="preserve">an external assessor </w:t>
      </w:r>
      <w:r w:rsidR="00063E03">
        <w:t>to carry</w:t>
      </w:r>
      <w:r w:rsidR="00D659DD" w:rsidRPr="004F6F01">
        <w:t xml:space="preserve"> out assessment in the </w:t>
      </w:r>
      <w:r w:rsidR="00CE31E4">
        <w:t>day</w:t>
      </w:r>
      <w:r w:rsidR="00B50DDF">
        <w:t>-</w:t>
      </w:r>
      <w:r w:rsidR="00CE31E4">
        <w:t>to</w:t>
      </w:r>
      <w:r w:rsidR="00B50DDF">
        <w:t>-</w:t>
      </w:r>
      <w:r w:rsidR="00CE31E4">
        <w:t>day wo</w:t>
      </w:r>
      <w:r w:rsidR="00C5535E">
        <w:t xml:space="preserve">rking </w:t>
      </w:r>
      <w:r w:rsidR="00C5535E" w:rsidRPr="00207BD3">
        <w:t xml:space="preserve">environment. </w:t>
      </w:r>
      <w:r w:rsidR="00E766CE">
        <w:t xml:space="preserve"> </w:t>
      </w:r>
      <w:r w:rsidR="00C5535E" w:rsidRPr="00207BD3">
        <w:t>This is sometimes</w:t>
      </w:r>
      <w:r w:rsidR="00CE31E4" w:rsidRPr="00207BD3">
        <w:t xml:space="preserve"> compounded by issues to do with </w:t>
      </w:r>
      <w:r w:rsidR="00B50DDF">
        <w:t xml:space="preserve">both </w:t>
      </w:r>
      <w:r w:rsidR="00CE31E4" w:rsidRPr="00207BD3">
        <w:t>confidentiality and</w:t>
      </w:r>
      <w:r w:rsidR="00D659DD" w:rsidRPr="00207BD3">
        <w:t xml:space="preserve"> </w:t>
      </w:r>
      <w:r w:rsidR="00E76C32">
        <w:t xml:space="preserve">the </w:t>
      </w:r>
      <w:r w:rsidR="00D659DD" w:rsidRPr="00207BD3">
        <w:t>security arr</w:t>
      </w:r>
      <w:r w:rsidR="008C67E8" w:rsidRPr="00207BD3">
        <w:t xml:space="preserve">angements </w:t>
      </w:r>
      <w:r w:rsidR="00E76C32">
        <w:t xml:space="preserve">which are </w:t>
      </w:r>
      <w:r w:rsidR="008C67E8" w:rsidRPr="00207BD3">
        <w:t xml:space="preserve">essential </w:t>
      </w:r>
      <w:r w:rsidR="00CE31E4" w:rsidRPr="00207BD3">
        <w:t>in many</w:t>
      </w:r>
      <w:r w:rsidR="00D659DD" w:rsidRPr="00207BD3">
        <w:t xml:space="preserve"> </w:t>
      </w:r>
      <w:r w:rsidR="00CE31E4" w:rsidRPr="00207BD3">
        <w:t xml:space="preserve">commercial </w:t>
      </w:r>
      <w:r w:rsidR="00D659DD" w:rsidRPr="00207BD3">
        <w:t xml:space="preserve">situations.   </w:t>
      </w:r>
    </w:p>
    <w:p w:rsidR="006F300F" w:rsidRPr="00207BD3" w:rsidRDefault="006F300F" w:rsidP="006F300F">
      <w:pPr>
        <w:pStyle w:val="BodyText"/>
        <w:spacing w:after="0"/>
      </w:pPr>
    </w:p>
    <w:p w:rsidR="00D659DD" w:rsidRPr="00207BD3" w:rsidRDefault="003633F4" w:rsidP="00D659DD">
      <w:pPr>
        <w:pStyle w:val="BodyText"/>
        <w:spacing w:after="0"/>
      </w:pPr>
      <w:r w:rsidRPr="008F7C72">
        <w:rPr>
          <w:szCs w:val="22"/>
        </w:rPr>
        <w:t>The requirements for assessors an</w:t>
      </w:r>
      <w:r w:rsidR="00DB06FA">
        <w:rPr>
          <w:szCs w:val="22"/>
        </w:rPr>
        <w:t>d internal verifiers for the S</w:t>
      </w:r>
      <w:r w:rsidRPr="008F7C72">
        <w:rPr>
          <w:szCs w:val="22"/>
        </w:rPr>
        <w:t>VQs in Providing Financial Services, as set out in this assessment strategy, acknowledge the reality of this assessment context.   Alternative models are therefore available to enable centres to carry out the processes of assessment and internal verification.  It is at the discretion of the awarding bodies as to which model they allow to ensure that assessors and internal verifiers comply with their requirements for assessment and internal verification</w:t>
      </w:r>
      <w:r>
        <w:rPr>
          <w:szCs w:val="22"/>
        </w:rPr>
        <w:t>.</w:t>
      </w:r>
    </w:p>
    <w:p w:rsidR="00D659DD" w:rsidRPr="00207BD3" w:rsidRDefault="00D659DD" w:rsidP="00D659DD">
      <w:pPr>
        <w:pStyle w:val="BodyText"/>
        <w:spacing w:after="0"/>
      </w:pPr>
    </w:p>
    <w:p w:rsidR="00D659DD" w:rsidRPr="00207BD3" w:rsidRDefault="00ED4337" w:rsidP="00ED4337">
      <w:pPr>
        <w:pStyle w:val="BodyText"/>
        <w:numPr>
          <w:ilvl w:val="0"/>
          <w:numId w:val="35"/>
        </w:numPr>
        <w:tabs>
          <w:tab w:val="clear" w:pos="840"/>
          <w:tab w:val="num" w:pos="360"/>
        </w:tabs>
        <w:spacing w:after="120"/>
        <w:ind w:left="360"/>
      </w:pPr>
      <w:r w:rsidRPr="00ED4337">
        <w:rPr>
          <w:b/>
        </w:rPr>
        <w:t>S</w:t>
      </w:r>
      <w:r w:rsidR="00D659DD" w:rsidRPr="00ED4337">
        <w:rPr>
          <w:b/>
        </w:rPr>
        <w:t>tandard model</w:t>
      </w:r>
      <w:r w:rsidR="00D659DD" w:rsidRPr="00207BD3">
        <w:t xml:space="preserve"> – this model requires assessors and verifiers to hold appropriate qualifications in addition to demonstrating r</w:t>
      </w:r>
      <w:r>
        <w:t>elevant occupational experience.</w:t>
      </w:r>
    </w:p>
    <w:p w:rsidR="00D659DD" w:rsidRPr="00207BD3" w:rsidRDefault="00ED4337" w:rsidP="00ED4337">
      <w:pPr>
        <w:pStyle w:val="BodyText"/>
        <w:numPr>
          <w:ilvl w:val="0"/>
          <w:numId w:val="35"/>
        </w:numPr>
        <w:tabs>
          <w:tab w:val="clear" w:pos="840"/>
          <w:tab w:val="num" w:pos="360"/>
        </w:tabs>
        <w:spacing w:after="120"/>
        <w:ind w:left="360"/>
      </w:pPr>
      <w:r w:rsidRPr="00ED4337">
        <w:rPr>
          <w:b/>
        </w:rPr>
        <w:t>E</w:t>
      </w:r>
      <w:r w:rsidR="00D659DD" w:rsidRPr="00ED4337">
        <w:rPr>
          <w:b/>
        </w:rPr>
        <w:t xml:space="preserve">mployer equivalent training model </w:t>
      </w:r>
      <w:r w:rsidR="00D659DD" w:rsidRPr="00207BD3">
        <w:t>– this model recognises that managers and supervisors may have developed equivalent skills and understanding through the employment context to enable them to take on assessor and internal verifier roles without holding the specified qualif</w:t>
      </w:r>
      <w:r>
        <w:t>ications for assessors and/or internal verifiers</w:t>
      </w:r>
      <w:r w:rsidR="00D659DD" w:rsidRPr="00207BD3">
        <w:t>.</w:t>
      </w:r>
    </w:p>
    <w:p w:rsidR="00D659DD" w:rsidRPr="00C44A36" w:rsidRDefault="00E83D7E" w:rsidP="00BF44BA">
      <w:pPr>
        <w:pStyle w:val="BodyText"/>
        <w:spacing w:after="0"/>
        <w:ind w:left="360"/>
        <w:rPr>
          <w:b/>
        </w:rPr>
      </w:pPr>
      <w:r>
        <w:rPr>
          <w:b/>
        </w:rPr>
        <w:t xml:space="preserve">N.B. </w:t>
      </w:r>
      <w:r w:rsidR="00D659DD" w:rsidRPr="00BF44BA">
        <w:t>The Employer Equivalent Training Model must be approved specifically by the awardi</w:t>
      </w:r>
      <w:r w:rsidR="00C25DE2" w:rsidRPr="00BF44BA">
        <w:t>ng body</w:t>
      </w:r>
      <w:r w:rsidR="00D70CBF" w:rsidRPr="00BF44BA">
        <w:t>.</w:t>
      </w:r>
    </w:p>
    <w:p w:rsidR="00ED4337" w:rsidRDefault="00ED4337" w:rsidP="00D659DD">
      <w:pPr>
        <w:pStyle w:val="BodyText"/>
        <w:spacing w:after="0"/>
      </w:pPr>
    </w:p>
    <w:p w:rsidR="00ED4337" w:rsidRDefault="00ED4337" w:rsidP="00ED4337">
      <w:pPr>
        <w:pStyle w:val="BodyText"/>
        <w:spacing w:after="0"/>
      </w:pPr>
      <w:r w:rsidRPr="004F6F01">
        <w:t xml:space="preserve">Guidance on the application of both models in the assessment context is provided </w:t>
      </w:r>
      <w:r>
        <w:t>i</w:t>
      </w:r>
      <w:r w:rsidR="00E766CE">
        <w:t>n section 5.2</w:t>
      </w:r>
      <w:r w:rsidRPr="004F6F01">
        <w:t>.</w:t>
      </w:r>
    </w:p>
    <w:p w:rsidR="00ED4337" w:rsidRDefault="00ED4337" w:rsidP="00D659DD">
      <w:pPr>
        <w:pStyle w:val="BodyText"/>
        <w:spacing w:after="0"/>
      </w:pPr>
    </w:p>
    <w:p w:rsidR="00BF44BA" w:rsidRDefault="00BF44BA" w:rsidP="00D659DD">
      <w:pPr>
        <w:pStyle w:val="BodyText"/>
        <w:spacing w:after="0"/>
      </w:pPr>
    </w:p>
    <w:p w:rsidR="006F300F" w:rsidRDefault="006F300F" w:rsidP="00D659DD">
      <w:pPr>
        <w:pStyle w:val="BodyText"/>
        <w:spacing w:after="0"/>
      </w:pPr>
    </w:p>
    <w:p w:rsidR="00ED4337" w:rsidRPr="004F6F01" w:rsidRDefault="00ED4337" w:rsidP="00D659DD">
      <w:pPr>
        <w:pStyle w:val="BodyText"/>
        <w:spacing w:after="0"/>
      </w:pPr>
    </w:p>
    <w:p w:rsidR="00D659DD" w:rsidRPr="00925E6A" w:rsidRDefault="00D659DD" w:rsidP="00207BD3">
      <w:pPr>
        <w:pStyle w:val="BodyText"/>
        <w:spacing w:after="120"/>
        <w:rPr>
          <w:u w:val="single"/>
        </w:rPr>
      </w:pPr>
      <w:r w:rsidRPr="00925E6A">
        <w:rPr>
          <w:u w:val="single"/>
        </w:rPr>
        <w:t>5.1</w:t>
      </w:r>
      <w:r w:rsidRPr="00925E6A">
        <w:rPr>
          <w:u w:val="single"/>
        </w:rPr>
        <w:tab/>
        <w:t>Introduction to the Employer Equivalent Training Model</w:t>
      </w:r>
    </w:p>
    <w:p w:rsidR="00D659DD" w:rsidRPr="004F6F01" w:rsidRDefault="00D659DD" w:rsidP="00D659DD">
      <w:pPr>
        <w:pStyle w:val="BodyText"/>
        <w:spacing w:after="0"/>
      </w:pPr>
      <w:r w:rsidRPr="004F6F01">
        <w:t xml:space="preserve">The </w:t>
      </w:r>
      <w:r>
        <w:t>employer equivalent training model</w:t>
      </w:r>
      <w:r w:rsidRPr="004F6F01">
        <w:t xml:space="preserve"> will be appropriate where this has the full agreement of the awarding body and the requirements set out below and in section 5.2 are met.  This </w:t>
      </w:r>
      <w:r w:rsidRPr="004F6F01">
        <w:lastRenderedPageBreak/>
        <w:t>model recognises the key role of supervisors and managers in the assessment process and builds upon the extensive role already carried out by supe</w:t>
      </w:r>
      <w:r w:rsidR="00CA6944">
        <w:t>rvisors and managers in the financial services sector</w:t>
      </w:r>
      <w:r w:rsidRPr="004F6F01">
        <w:t xml:space="preserve"> in developing and monitoring the competence of staff.  This means that, wherever possible and as agreed with the awarding body, assessment can be conducted by supervisors and managers in the workplace regardless as to the position of specific qualifications.  </w:t>
      </w:r>
    </w:p>
    <w:p w:rsidR="00207BD3" w:rsidRDefault="00207BD3" w:rsidP="00D659DD">
      <w:pPr>
        <w:pStyle w:val="BodyText"/>
        <w:spacing w:after="0"/>
      </w:pPr>
    </w:p>
    <w:p w:rsidR="00D659DD" w:rsidRDefault="00D659DD" w:rsidP="00D659DD">
      <w:pPr>
        <w:pStyle w:val="BodyText"/>
        <w:spacing w:after="0"/>
      </w:pPr>
      <w:r w:rsidRPr="004F6F01">
        <w:t xml:space="preserve">Where the employer </w:t>
      </w:r>
      <w:r>
        <w:t>equivalent training</w:t>
      </w:r>
      <w:r w:rsidRPr="004F6F01">
        <w:t xml:space="preserve"> assessment model is used, supervisors and line managers carrying out the assessment or internal verification role in agreement with the awarding body</w:t>
      </w:r>
      <w:r w:rsidR="00B50DDF">
        <w:t>,</w:t>
      </w:r>
      <w:r w:rsidRPr="004F6F01">
        <w:t xml:space="preserve"> must confirm that they are competent to undertake the</w:t>
      </w:r>
      <w:r>
        <w:t>se</w:t>
      </w:r>
      <w:r w:rsidRPr="004F6F01">
        <w:t xml:space="preserve"> role</w:t>
      </w:r>
      <w:r>
        <w:t>s</w:t>
      </w:r>
      <w:r w:rsidRPr="004F6F01">
        <w:t xml:space="preserve"> by demonstrating that they have completed appropriate training and development to do this.  They must demonstrate that their training maps 100% to the National Occupational Stan</w:t>
      </w:r>
      <w:r>
        <w:t>dards on which the approved regulatory qualifications for assessment and/or internal verification are based</w:t>
      </w:r>
      <w:r w:rsidRPr="004F6F01">
        <w:t xml:space="preserve">.  This mapping process must be agreed by the awarding body who should also confirm that the experience and skills of potential assessors </w:t>
      </w:r>
      <w:r>
        <w:t xml:space="preserve">and verifiers </w:t>
      </w:r>
      <w:r w:rsidRPr="004F6F01">
        <w:t>are of an equivalent level of rigour and robustness as those associated with the achievement of the regulatory body approved qualifications for assessment.</w:t>
      </w:r>
    </w:p>
    <w:p w:rsidR="00ED4337" w:rsidRDefault="00ED4337" w:rsidP="00D659DD">
      <w:pPr>
        <w:pStyle w:val="BodyText"/>
        <w:spacing w:after="0"/>
      </w:pPr>
    </w:p>
    <w:p w:rsidR="00D659DD" w:rsidRPr="004F6F01" w:rsidRDefault="00D659DD" w:rsidP="00D659DD">
      <w:pPr>
        <w:pStyle w:val="BodyText"/>
        <w:spacing w:after="0"/>
      </w:pPr>
      <w:r>
        <w:t>Assessment and verification must always be to the national standards for assessment and verification even when the</w:t>
      </w:r>
      <w:r w:rsidR="00CA6944">
        <w:t xml:space="preserve"> requirement to hold t</w:t>
      </w:r>
      <w:r>
        <w:t xml:space="preserve">he regulatory approved assessment and verification awards is removed.                                                                                                                                                                                                                                                                                                                                                                                                                                                                                                                                                                                                                                                                                                                                                                                                                                                                                                                                                                                                                                                                                                                                                                                                                                                                                                                                                                                                                                                                                                                                                                                                                                                                                                                                                                                                                                                                                                                                                                                                                                                                                                                                                                                                                                                                                                                                                                                                                                                                                                                                                                                                                                                                                                                                                                                                                                                                                                                                                                                                                                                                                                                                                                                                                                                                                                                                                                                                                                                                                                                                                                                           </w:t>
      </w:r>
    </w:p>
    <w:p w:rsidR="00D659DD" w:rsidRPr="00207BD3" w:rsidRDefault="00D659DD" w:rsidP="00D659DD">
      <w:pPr>
        <w:pStyle w:val="BodyText"/>
        <w:spacing w:after="0"/>
      </w:pPr>
    </w:p>
    <w:p w:rsidR="00D659DD" w:rsidRPr="00207BD3" w:rsidRDefault="00D659DD" w:rsidP="00D659DD">
      <w:pPr>
        <w:pStyle w:val="BodyText"/>
        <w:spacing w:after="0"/>
      </w:pPr>
      <w:r w:rsidRPr="00207BD3">
        <w:t xml:space="preserve">The employer equivalent training model waives the need for the regulatory body approved qualifications for assessment. </w:t>
      </w:r>
      <w:r w:rsidR="00E766CE">
        <w:t xml:space="preserve"> </w:t>
      </w:r>
      <w:r w:rsidRPr="00207BD3">
        <w:t>This model must be confined in application to a particular organisation</w:t>
      </w:r>
      <w:r w:rsidR="00ED4337">
        <w:t>,</w:t>
      </w:r>
      <w:r w:rsidRPr="00207BD3">
        <w:t xml:space="preserve"> </w:t>
      </w:r>
      <w:r w:rsidR="001319CE" w:rsidRPr="00207BD3">
        <w:t>i.e.</w:t>
      </w:r>
      <w:r w:rsidR="00ED4337">
        <w:t>,</w:t>
      </w:r>
      <w:r w:rsidRPr="00207BD3">
        <w:t xml:space="preserve"> those assessing performance can only do so in the context of their own employer.  </w:t>
      </w:r>
    </w:p>
    <w:p w:rsidR="00D659DD" w:rsidRPr="00207BD3" w:rsidRDefault="00D659DD" w:rsidP="00D659DD">
      <w:pPr>
        <w:pStyle w:val="BodyText"/>
        <w:spacing w:after="0"/>
      </w:pPr>
    </w:p>
    <w:p w:rsidR="00D659DD" w:rsidRDefault="007029B7" w:rsidP="00D659DD">
      <w:pPr>
        <w:pStyle w:val="BodyText"/>
        <w:spacing w:after="0"/>
      </w:pPr>
      <w:r w:rsidRPr="00207BD3">
        <w:t>This employer</w:t>
      </w:r>
      <w:r w:rsidR="00D659DD" w:rsidRPr="00207BD3">
        <w:t xml:space="preserve"> </w:t>
      </w:r>
      <w:r w:rsidRPr="00207BD3">
        <w:t xml:space="preserve">model could if required be combined with </w:t>
      </w:r>
      <w:r w:rsidR="00D659DD" w:rsidRPr="00207BD3">
        <w:t>the standard mode</w:t>
      </w:r>
      <w:r w:rsidR="00ED4337">
        <w:t>l; for example, assessors and internal verifiers</w:t>
      </w:r>
      <w:r w:rsidR="00D659DD" w:rsidRPr="00207BD3">
        <w:t xml:space="preserve"> under the employer</w:t>
      </w:r>
      <w:r w:rsidRPr="00207BD3">
        <w:t xml:space="preserve"> equivalent training model could</w:t>
      </w:r>
      <w:r w:rsidR="00D659DD" w:rsidRPr="00207BD3">
        <w:t xml:space="preserve"> work alongside </w:t>
      </w:r>
      <w:r w:rsidR="00ED4337">
        <w:t>external verifiers</w:t>
      </w:r>
      <w:r w:rsidR="00D659DD" w:rsidRPr="00207BD3">
        <w:t xml:space="preserve"> under regulator</w:t>
      </w:r>
      <w:r w:rsidRPr="00207BD3">
        <w:t>y requirements and assessors</w:t>
      </w:r>
      <w:r w:rsidR="00D659DD" w:rsidRPr="00207BD3">
        <w:t xml:space="preserve"> can work with</w:t>
      </w:r>
      <w:r w:rsidR="00CB146A" w:rsidRPr="00207BD3">
        <w:t xml:space="preserve"> </w:t>
      </w:r>
      <w:r w:rsidR="00ED4337">
        <w:t>internal verifier</w:t>
      </w:r>
      <w:r w:rsidR="00CB146A" w:rsidRPr="00207BD3">
        <w:t xml:space="preserve">s and </w:t>
      </w:r>
      <w:r w:rsidR="00ED4337">
        <w:t>external verifier</w:t>
      </w:r>
      <w:r w:rsidR="00D659DD" w:rsidRPr="00207BD3">
        <w:t xml:space="preserve">s under </w:t>
      </w:r>
      <w:r w:rsidR="00CA6944" w:rsidRPr="00207BD3">
        <w:t>the standard</w:t>
      </w:r>
      <w:r w:rsidR="00D659DD" w:rsidRPr="00207BD3">
        <w:t xml:space="preserve"> model.  This must be agreed with the awarding body.</w:t>
      </w:r>
    </w:p>
    <w:p w:rsidR="00D659DD" w:rsidRDefault="00D659DD" w:rsidP="00925E6A">
      <w:pPr>
        <w:pStyle w:val="BodyText"/>
        <w:spacing w:after="0"/>
      </w:pPr>
      <w:r w:rsidRPr="005B44D3">
        <w:t xml:space="preserve">  </w:t>
      </w:r>
    </w:p>
    <w:p w:rsidR="00D659DD" w:rsidRPr="00925E6A" w:rsidRDefault="00D659DD" w:rsidP="00207BD3">
      <w:pPr>
        <w:spacing w:after="120"/>
        <w:rPr>
          <w:sz w:val="22"/>
          <w:u w:val="single"/>
        </w:rPr>
      </w:pPr>
      <w:r w:rsidRPr="00925E6A">
        <w:rPr>
          <w:sz w:val="22"/>
          <w:u w:val="single"/>
        </w:rPr>
        <w:t>5.2</w:t>
      </w:r>
      <w:r w:rsidRPr="00925E6A">
        <w:rPr>
          <w:sz w:val="22"/>
          <w:u w:val="single"/>
        </w:rPr>
        <w:tab/>
        <w:t>Specific Requirements for Verifiers and Assessors</w:t>
      </w:r>
    </w:p>
    <w:p w:rsidR="00D659DD" w:rsidRDefault="00D659DD" w:rsidP="00D659DD">
      <w:pPr>
        <w:rPr>
          <w:sz w:val="22"/>
        </w:rPr>
      </w:pPr>
    </w:p>
    <w:p w:rsidR="00D659DD" w:rsidRDefault="00D659DD" w:rsidP="00207BD3">
      <w:pPr>
        <w:tabs>
          <w:tab w:val="left" w:pos="720"/>
        </w:tabs>
        <w:spacing w:after="120"/>
        <w:rPr>
          <w:b/>
          <w:sz w:val="22"/>
        </w:rPr>
      </w:pPr>
      <w:r>
        <w:rPr>
          <w:sz w:val="22"/>
          <w:u w:val="single"/>
        </w:rPr>
        <w:t>Competence of External Verifiers</w:t>
      </w:r>
    </w:p>
    <w:p w:rsidR="00AC16E3" w:rsidRDefault="00D659DD" w:rsidP="00AC16E3">
      <w:pPr>
        <w:pStyle w:val="BodyTextIndent2"/>
        <w:ind w:left="0"/>
      </w:pPr>
      <w:r>
        <w:t xml:space="preserve">A primary responsibility of the external verifier is to assure quality of internal verification and assessments across the centres for which they are responsible. </w:t>
      </w:r>
      <w:r w:rsidR="00E766CE">
        <w:t xml:space="preserve"> </w:t>
      </w:r>
      <w:r>
        <w:t xml:space="preserve">External verifiers therefore need to have a thorough understanding of quality assurance and assessment practices as well as </w:t>
      </w:r>
      <w:r>
        <w:rPr>
          <w:u w:val="single"/>
        </w:rPr>
        <w:t>technical awareness</w:t>
      </w:r>
      <w:r>
        <w:t xml:space="preserve"> related to the qualifications that they are externally verifying.  It will be the responsibility of the awarding body to select and appoint external verifiers. </w:t>
      </w:r>
      <w:r w:rsidR="008257E7">
        <w:t xml:space="preserve"> </w:t>
      </w:r>
    </w:p>
    <w:p w:rsidR="00D659DD" w:rsidRDefault="00D659DD" w:rsidP="00AC16E3">
      <w:pPr>
        <w:pStyle w:val="BodyTextIndent3"/>
        <w:spacing w:before="120" w:after="60"/>
        <w:ind w:left="0"/>
      </w:pPr>
      <w:r>
        <w:t xml:space="preserve">Potential external verifiers should: </w:t>
      </w:r>
    </w:p>
    <w:p w:rsidR="00D659DD" w:rsidRDefault="00D659DD" w:rsidP="008257E7">
      <w:pPr>
        <w:numPr>
          <w:ilvl w:val="0"/>
          <w:numId w:val="6"/>
        </w:numPr>
        <w:tabs>
          <w:tab w:val="left" w:pos="1134"/>
        </w:tabs>
        <w:spacing w:after="120"/>
        <w:rPr>
          <w:sz w:val="22"/>
        </w:rPr>
      </w:pPr>
      <w:r>
        <w:rPr>
          <w:sz w:val="22"/>
        </w:rPr>
        <w:t>hold (or be working towards) an appropriate qualification as specified by the regulatory authorities</w:t>
      </w:r>
      <w:r w:rsidR="007029B7">
        <w:rPr>
          <w:sz w:val="22"/>
        </w:rPr>
        <w:t xml:space="preserve"> and/or awarding bodies</w:t>
      </w:r>
      <w:r>
        <w:rPr>
          <w:sz w:val="22"/>
        </w:rPr>
        <w:t>, confirming their com</w:t>
      </w:r>
      <w:r w:rsidR="00DB06FA">
        <w:rPr>
          <w:sz w:val="22"/>
        </w:rPr>
        <w:t>petence to externally verify S</w:t>
      </w:r>
      <w:r>
        <w:rPr>
          <w:sz w:val="22"/>
        </w:rPr>
        <w:t>VQ assessments</w:t>
      </w:r>
      <w:r w:rsidR="008257E7">
        <w:rPr>
          <w:sz w:val="22"/>
        </w:rPr>
        <w:t>;</w:t>
      </w:r>
    </w:p>
    <w:p w:rsidR="00D659DD" w:rsidRDefault="00D659DD" w:rsidP="008257E7">
      <w:pPr>
        <w:numPr>
          <w:ilvl w:val="0"/>
          <w:numId w:val="11"/>
        </w:numPr>
        <w:tabs>
          <w:tab w:val="left" w:pos="1134"/>
        </w:tabs>
        <w:spacing w:after="120"/>
        <w:rPr>
          <w:sz w:val="22"/>
        </w:rPr>
      </w:pPr>
      <w:r>
        <w:rPr>
          <w:sz w:val="22"/>
        </w:rPr>
        <w:t>have experienc</w:t>
      </w:r>
      <w:r w:rsidR="008C67E8">
        <w:rPr>
          <w:sz w:val="22"/>
        </w:rPr>
        <w:t>e of working within the financial services</w:t>
      </w:r>
      <w:r>
        <w:rPr>
          <w:sz w:val="22"/>
        </w:rPr>
        <w:t xml:space="preserve"> industry gained throu</w:t>
      </w:r>
      <w:r w:rsidR="008257E7">
        <w:rPr>
          <w:sz w:val="22"/>
        </w:rPr>
        <w:t>gh current or prior employment;</w:t>
      </w:r>
    </w:p>
    <w:p w:rsidR="00D659DD" w:rsidRDefault="00D659DD" w:rsidP="008257E7">
      <w:pPr>
        <w:numPr>
          <w:ilvl w:val="0"/>
          <w:numId w:val="7"/>
        </w:numPr>
        <w:tabs>
          <w:tab w:val="left" w:pos="1134"/>
        </w:tabs>
        <w:spacing w:after="120"/>
        <w:rPr>
          <w:sz w:val="22"/>
        </w:rPr>
      </w:pPr>
      <w:r>
        <w:rPr>
          <w:sz w:val="22"/>
        </w:rPr>
        <w:lastRenderedPageBreak/>
        <w:t>have an up to date technic</w:t>
      </w:r>
      <w:r w:rsidR="00DB06FA">
        <w:rPr>
          <w:sz w:val="22"/>
        </w:rPr>
        <w:t>al awareness relevant to the S</w:t>
      </w:r>
      <w:r>
        <w:rPr>
          <w:sz w:val="22"/>
        </w:rPr>
        <w:t>VQs they are seeking to externally verify.  Technical awareness is defined as a general overview of the subject area sufficient to ensure that assessment and portfolio evidence are reliable and that relevant health and safety requi</w:t>
      </w:r>
      <w:r w:rsidR="008257E7">
        <w:rPr>
          <w:sz w:val="22"/>
        </w:rPr>
        <w:t>rements have been complied with;</w:t>
      </w:r>
    </w:p>
    <w:p w:rsidR="00D659DD" w:rsidRDefault="00D659DD" w:rsidP="008257E7">
      <w:pPr>
        <w:numPr>
          <w:ilvl w:val="0"/>
          <w:numId w:val="8"/>
        </w:numPr>
        <w:tabs>
          <w:tab w:val="left" w:pos="1134"/>
        </w:tabs>
        <w:spacing w:after="120"/>
        <w:rPr>
          <w:sz w:val="22"/>
        </w:rPr>
      </w:pPr>
      <w:r>
        <w:rPr>
          <w:sz w:val="22"/>
        </w:rPr>
        <w:t xml:space="preserve">have a sound and in-depth knowledge of the </w:t>
      </w:r>
      <w:r w:rsidR="00E76C32">
        <w:rPr>
          <w:sz w:val="22"/>
        </w:rPr>
        <w:t>N</w:t>
      </w:r>
      <w:r w:rsidR="00CB146A">
        <w:rPr>
          <w:sz w:val="22"/>
        </w:rPr>
        <w:t xml:space="preserve">ational </w:t>
      </w:r>
      <w:r w:rsidR="00E76C32">
        <w:rPr>
          <w:sz w:val="22"/>
        </w:rPr>
        <w:t>O</w:t>
      </w:r>
      <w:r w:rsidR="008257E7">
        <w:rPr>
          <w:sz w:val="22"/>
        </w:rPr>
        <w:t xml:space="preserve">ccupational </w:t>
      </w:r>
      <w:r w:rsidR="00E76C32">
        <w:rPr>
          <w:sz w:val="22"/>
        </w:rPr>
        <w:t>S</w:t>
      </w:r>
      <w:r w:rsidR="008257E7">
        <w:rPr>
          <w:sz w:val="22"/>
        </w:rPr>
        <w:t>tandards;</w:t>
      </w:r>
    </w:p>
    <w:p w:rsidR="00D659DD" w:rsidRDefault="00D659DD" w:rsidP="008257E7">
      <w:pPr>
        <w:numPr>
          <w:ilvl w:val="0"/>
          <w:numId w:val="9"/>
        </w:numPr>
        <w:tabs>
          <w:tab w:val="clear" w:pos="720"/>
          <w:tab w:val="num" w:pos="360"/>
          <w:tab w:val="left" w:pos="426"/>
        </w:tabs>
        <w:spacing w:after="120"/>
        <w:ind w:left="360"/>
        <w:rPr>
          <w:sz w:val="22"/>
        </w:rPr>
      </w:pPr>
      <w:r>
        <w:rPr>
          <w:sz w:val="22"/>
        </w:rPr>
        <w:t>demo</w:t>
      </w:r>
      <w:r w:rsidR="00F1565A">
        <w:rPr>
          <w:sz w:val="22"/>
        </w:rPr>
        <w:t>n</w:t>
      </w:r>
      <w:r>
        <w:rPr>
          <w:sz w:val="22"/>
        </w:rPr>
        <w:t>strate their commitment to maintaining their industry knowledge by ongoing professional development</w:t>
      </w:r>
      <w:r w:rsidR="008257E7">
        <w:rPr>
          <w:sz w:val="22"/>
        </w:rPr>
        <w:t>,</w:t>
      </w:r>
      <w:r>
        <w:rPr>
          <w:sz w:val="22"/>
        </w:rPr>
        <w:t xml:space="preserve"> </w:t>
      </w:r>
      <w:r w:rsidR="008257E7">
        <w:rPr>
          <w:sz w:val="22"/>
        </w:rPr>
        <w:t>e.g.,</w:t>
      </w:r>
      <w:r w:rsidR="00CB146A">
        <w:rPr>
          <w:sz w:val="22"/>
        </w:rPr>
        <w:t xml:space="preserve"> </w:t>
      </w:r>
      <w:r>
        <w:rPr>
          <w:sz w:val="22"/>
        </w:rPr>
        <w:t>through undertaking training courses and/or membership of industry organisations.</w:t>
      </w:r>
    </w:p>
    <w:p w:rsidR="00D659DD" w:rsidRDefault="00D659DD" w:rsidP="008257E7">
      <w:pPr>
        <w:tabs>
          <w:tab w:val="left" w:pos="720"/>
        </w:tabs>
        <w:spacing w:before="120" w:after="120"/>
        <w:rPr>
          <w:sz w:val="22"/>
          <w:u w:val="single"/>
        </w:rPr>
      </w:pPr>
      <w:r>
        <w:rPr>
          <w:sz w:val="22"/>
          <w:u w:val="single"/>
        </w:rPr>
        <w:t>Competence of Internal Verifiers</w:t>
      </w:r>
    </w:p>
    <w:p w:rsidR="00D659DD" w:rsidRDefault="00D659DD" w:rsidP="00D659DD">
      <w:pPr>
        <w:rPr>
          <w:sz w:val="22"/>
        </w:rPr>
      </w:pPr>
      <w:r>
        <w:rPr>
          <w:sz w:val="22"/>
        </w:rPr>
        <w:t>A primary responsibility of the internal verifier is to assure the quality and consistency of assessments by the assessors for whom they are responsible.</w:t>
      </w:r>
      <w:r w:rsidR="00AC16E3">
        <w:rPr>
          <w:sz w:val="22"/>
        </w:rPr>
        <w:t xml:space="preserve"> </w:t>
      </w:r>
      <w:r>
        <w:rPr>
          <w:sz w:val="22"/>
        </w:rPr>
        <w:t xml:space="preserve"> Internal verifiers therefore need to have a thorough understanding of quality assurance and assessment practices, as well as sufficient</w:t>
      </w:r>
      <w:r w:rsidRPr="00C46D33">
        <w:rPr>
          <w:sz w:val="22"/>
        </w:rPr>
        <w:t xml:space="preserve"> technical understanding</w:t>
      </w:r>
      <w:r>
        <w:rPr>
          <w:sz w:val="22"/>
        </w:rPr>
        <w:t xml:space="preserve"> related to the qualifications that they are internally verifying.  </w:t>
      </w:r>
    </w:p>
    <w:p w:rsidR="00D659DD" w:rsidRDefault="00D659DD" w:rsidP="00D659DD">
      <w:pPr>
        <w:rPr>
          <w:sz w:val="22"/>
        </w:rPr>
      </w:pPr>
    </w:p>
    <w:p w:rsidR="003F0066" w:rsidRDefault="00D659DD" w:rsidP="00D659DD">
      <w:pPr>
        <w:tabs>
          <w:tab w:val="left" w:pos="720"/>
        </w:tabs>
        <w:spacing w:after="144"/>
        <w:rPr>
          <w:sz w:val="22"/>
        </w:rPr>
      </w:pPr>
      <w:r>
        <w:rPr>
          <w:sz w:val="22"/>
        </w:rPr>
        <w:t xml:space="preserve">It will be the responsibility of the approved centre to select and appoint internal verifiers. </w:t>
      </w:r>
    </w:p>
    <w:p w:rsidR="00D659DD" w:rsidRDefault="00D659DD" w:rsidP="00D659DD">
      <w:pPr>
        <w:tabs>
          <w:tab w:val="left" w:pos="720"/>
        </w:tabs>
        <w:spacing w:after="144"/>
        <w:rPr>
          <w:sz w:val="22"/>
        </w:rPr>
      </w:pPr>
      <w:r>
        <w:rPr>
          <w:sz w:val="22"/>
        </w:rPr>
        <w:t xml:space="preserve">The majority of </w:t>
      </w:r>
      <w:r w:rsidR="00AC16E3">
        <w:rPr>
          <w:sz w:val="22"/>
        </w:rPr>
        <w:t>i</w:t>
      </w:r>
      <w:r>
        <w:rPr>
          <w:sz w:val="22"/>
        </w:rPr>
        <w:t xml:space="preserve">nternal </w:t>
      </w:r>
      <w:r w:rsidR="00AC16E3">
        <w:rPr>
          <w:sz w:val="22"/>
        </w:rPr>
        <w:t>v</w:t>
      </w:r>
      <w:r>
        <w:rPr>
          <w:sz w:val="22"/>
        </w:rPr>
        <w:t xml:space="preserve">erifiers will operate under the standard model.  However, in some instances, awarding bodies may have agreed to adopt an employer equivalent training model.  </w:t>
      </w:r>
      <w:r w:rsidR="001319CE">
        <w:rPr>
          <w:sz w:val="22"/>
        </w:rPr>
        <w:t xml:space="preserve">Requirements for </w:t>
      </w:r>
      <w:r w:rsidR="00AC16E3">
        <w:rPr>
          <w:sz w:val="22"/>
        </w:rPr>
        <w:t>i</w:t>
      </w:r>
      <w:r w:rsidR="001319CE">
        <w:rPr>
          <w:sz w:val="22"/>
        </w:rPr>
        <w:t xml:space="preserve">nternal </w:t>
      </w:r>
      <w:r w:rsidR="00AC16E3">
        <w:rPr>
          <w:sz w:val="22"/>
        </w:rPr>
        <w:t>v</w:t>
      </w:r>
      <w:r w:rsidR="001319CE">
        <w:rPr>
          <w:sz w:val="22"/>
        </w:rPr>
        <w:t>erifiers under each of the two models follow</w:t>
      </w:r>
      <w:r>
        <w:rPr>
          <w:sz w:val="22"/>
        </w:rPr>
        <w:t>:</w:t>
      </w:r>
    </w:p>
    <w:p w:rsidR="00D659DD" w:rsidRDefault="00D659DD" w:rsidP="00D659DD">
      <w:pPr>
        <w:tabs>
          <w:tab w:val="left" w:pos="720"/>
        </w:tabs>
        <w:spacing w:after="144"/>
        <w:rPr>
          <w:sz w:val="22"/>
          <w:u w:val="single"/>
        </w:rPr>
      </w:pPr>
    </w:p>
    <w:tbl>
      <w:tblPr>
        <w:tblW w:w="0" w:type="auto"/>
        <w:tblBorders>
          <w:insideH w:val="single" w:sz="4" w:space="0" w:color="auto"/>
          <w:insideV w:val="single" w:sz="4" w:space="0" w:color="auto"/>
        </w:tblBorders>
        <w:tblLook w:val="01E0" w:firstRow="1" w:lastRow="1" w:firstColumn="1" w:lastColumn="1" w:noHBand="0" w:noVBand="0"/>
      </w:tblPr>
      <w:tblGrid>
        <w:gridCol w:w="4788"/>
        <w:gridCol w:w="4788"/>
      </w:tblGrid>
      <w:tr w:rsidR="00D659DD">
        <w:tc>
          <w:tcPr>
            <w:tcW w:w="4788" w:type="dxa"/>
            <w:vAlign w:val="center"/>
          </w:tcPr>
          <w:p w:rsidR="00D659DD" w:rsidRDefault="00D659DD" w:rsidP="00207BD3">
            <w:pPr>
              <w:tabs>
                <w:tab w:val="left" w:pos="720"/>
              </w:tabs>
              <w:spacing w:before="60" w:after="60"/>
              <w:rPr>
                <w:b/>
                <w:sz w:val="22"/>
              </w:rPr>
            </w:pPr>
            <w:r>
              <w:rPr>
                <w:b/>
                <w:sz w:val="22"/>
              </w:rPr>
              <w:t>Standard Model</w:t>
            </w:r>
          </w:p>
        </w:tc>
        <w:tc>
          <w:tcPr>
            <w:tcW w:w="4788" w:type="dxa"/>
            <w:vAlign w:val="center"/>
          </w:tcPr>
          <w:p w:rsidR="00D659DD" w:rsidRDefault="00D659DD" w:rsidP="00207BD3">
            <w:pPr>
              <w:tabs>
                <w:tab w:val="left" w:pos="720"/>
              </w:tabs>
              <w:spacing w:before="60" w:after="60"/>
              <w:rPr>
                <w:b/>
                <w:sz w:val="22"/>
              </w:rPr>
            </w:pPr>
            <w:r>
              <w:rPr>
                <w:b/>
                <w:sz w:val="22"/>
              </w:rPr>
              <w:t xml:space="preserve"> Employer Equivalent Training Model</w:t>
            </w:r>
          </w:p>
        </w:tc>
      </w:tr>
      <w:tr w:rsidR="00D659DD">
        <w:tc>
          <w:tcPr>
            <w:tcW w:w="4788" w:type="dxa"/>
          </w:tcPr>
          <w:p w:rsidR="00D659DD" w:rsidRDefault="00D659DD" w:rsidP="00A954F5">
            <w:pPr>
              <w:rPr>
                <w:sz w:val="22"/>
              </w:rPr>
            </w:pPr>
            <w:r>
              <w:rPr>
                <w:sz w:val="22"/>
              </w:rPr>
              <w:t xml:space="preserve"> </w:t>
            </w:r>
          </w:p>
          <w:p w:rsidR="00D659DD" w:rsidRPr="00207BD3" w:rsidRDefault="00D659DD" w:rsidP="008257E7">
            <w:pPr>
              <w:spacing w:after="120"/>
              <w:rPr>
                <w:sz w:val="22"/>
              </w:rPr>
            </w:pPr>
            <w:r w:rsidRPr="00207BD3">
              <w:rPr>
                <w:b/>
                <w:sz w:val="22"/>
              </w:rPr>
              <w:t>Internal Verifiers</w:t>
            </w:r>
            <w:r w:rsidRPr="00207BD3">
              <w:rPr>
                <w:sz w:val="22"/>
              </w:rPr>
              <w:t xml:space="preserve"> must:</w:t>
            </w:r>
          </w:p>
          <w:p w:rsidR="00D659DD" w:rsidRPr="00207BD3" w:rsidRDefault="00D659DD" w:rsidP="008257E7">
            <w:pPr>
              <w:numPr>
                <w:ilvl w:val="0"/>
                <w:numId w:val="3"/>
              </w:numPr>
              <w:tabs>
                <w:tab w:val="clear" w:pos="720"/>
              </w:tabs>
              <w:spacing w:after="120"/>
              <w:ind w:left="360"/>
              <w:rPr>
                <w:sz w:val="22"/>
              </w:rPr>
            </w:pPr>
            <w:r w:rsidRPr="00207BD3">
              <w:rPr>
                <w:sz w:val="22"/>
              </w:rPr>
              <w:t>hold (or be working towards) an appropriate qualification, as specified by the regulatory authorities</w:t>
            </w:r>
            <w:r w:rsidR="007029B7" w:rsidRPr="00207BD3">
              <w:rPr>
                <w:sz w:val="22"/>
              </w:rPr>
              <w:t xml:space="preserve"> and or awarding bodies</w:t>
            </w:r>
            <w:r w:rsidRPr="00207BD3">
              <w:rPr>
                <w:sz w:val="22"/>
              </w:rPr>
              <w:t>, confirming their com</w:t>
            </w:r>
            <w:r w:rsidR="00DB06FA">
              <w:rPr>
                <w:sz w:val="22"/>
              </w:rPr>
              <w:t>petence to internally verify S</w:t>
            </w:r>
            <w:r w:rsidRPr="00207BD3">
              <w:rPr>
                <w:sz w:val="22"/>
              </w:rPr>
              <w:t>VQ assessments</w:t>
            </w:r>
            <w:r w:rsidR="008257E7">
              <w:rPr>
                <w:sz w:val="22"/>
              </w:rPr>
              <w:t>;</w:t>
            </w:r>
          </w:p>
          <w:p w:rsidR="00D659DD" w:rsidRPr="00207BD3" w:rsidRDefault="00D659DD" w:rsidP="008257E7">
            <w:pPr>
              <w:numPr>
                <w:ilvl w:val="0"/>
                <w:numId w:val="3"/>
              </w:numPr>
              <w:tabs>
                <w:tab w:val="clear" w:pos="720"/>
              </w:tabs>
              <w:spacing w:after="120"/>
              <w:ind w:left="360"/>
              <w:rPr>
                <w:sz w:val="22"/>
              </w:rPr>
            </w:pPr>
            <w:bookmarkStart w:id="1" w:name="OLE_LINK1"/>
            <w:bookmarkStart w:id="2" w:name="OLE_LINK2"/>
            <w:r w:rsidRPr="00207BD3">
              <w:rPr>
                <w:sz w:val="22"/>
              </w:rPr>
              <w:t>have a sound and in-depth knowledg</w:t>
            </w:r>
            <w:r w:rsidR="008257E7">
              <w:rPr>
                <w:sz w:val="22"/>
              </w:rPr>
              <w:t>e of the occupational standards;</w:t>
            </w:r>
          </w:p>
          <w:p w:rsidR="007029B7" w:rsidRPr="00207BD3" w:rsidRDefault="00D659DD" w:rsidP="008257E7">
            <w:pPr>
              <w:numPr>
                <w:ilvl w:val="0"/>
                <w:numId w:val="3"/>
              </w:numPr>
              <w:tabs>
                <w:tab w:val="clear" w:pos="720"/>
              </w:tabs>
              <w:spacing w:after="120"/>
              <w:ind w:left="360"/>
              <w:rPr>
                <w:spacing w:val="2"/>
                <w:sz w:val="22"/>
              </w:rPr>
            </w:pPr>
            <w:r w:rsidRPr="00207BD3">
              <w:rPr>
                <w:sz w:val="22"/>
              </w:rPr>
              <w:t>have credible up to date technical understanding, developed through:</w:t>
            </w:r>
          </w:p>
          <w:p w:rsidR="00D659DD" w:rsidRPr="00207BD3" w:rsidRDefault="00D659DD" w:rsidP="00C3241C">
            <w:pPr>
              <w:numPr>
                <w:ilvl w:val="0"/>
                <w:numId w:val="28"/>
              </w:numPr>
              <w:spacing w:after="60"/>
              <w:rPr>
                <w:spacing w:val="2"/>
                <w:sz w:val="22"/>
              </w:rPr>
            </w:pPr>
            <w:r w:rsidRPr="00207BD3">
              <w:rPr>
                <w:sz w:val="22"/>
              </w:rPr>
              <w:t>experience as a practitione</w:t>
            </w:r>
            <w:r w:rsidR="00DB06FA">
              <w:rPr>
                <w:sz w:val="22"/>
              </w:rPr>
              <w:t>r in the role covered by the S</w:t>
            </w:r>
            <w:r w:rsidRPr="00207BD3">
              <w:rPr>
                <w:sz w:val="22"/>
              </w:rPr>
              <w:t>VQ</w:t>
            </w:r>
            <w:r w:rsidR="008257E7">
              <w:rPr>
                <w:sz w:val="22"/>
              </w:rPr>
              <w:t>,</w:t>
            </w:r>
            <w:r w:rsidRPr="00207BD3">
              <w:rPr>
                <w:sz w:val="22"/>
              </w:rPr>
              <w:t xml:space="preserve"> </w:t>
            </w:r>
            <w:r w:rsidR="0083314D" w:rsidRPr="00207BD3">
              <w:rPr>
                <w:sz w:val="22"/>
              </w:rPr>
              <w:t>and</w:t>
            </w:r>
            <w:r w:rsidRPr="00207BD3">
              <w:rPr>
                <w:sz w:val="22"/>
              </w:rPr>
              <w:t>/</w:t>
            </w:r>
            <w:r w:rsidR="0083314D" w:rsidRPr="00207BD3">
              <w:rPr>
                <w:sz w:val="22"/>
              </w:rPr>
              <w:t>or</w:t>
            </w:r>
          </w:p>
          <w:p w:rsidR="00D659DD" w:rsidRPr="00207BD3" w:rsidRDefault="00D659DD" w:rsidP="00C3241C">
            <w:pPr>
              <w:numPr>
                <w:ilvl w:val="0"/>
                <w:numId w:val="28"/>
              </w:numPr>
              <w:spacing w:after="60"/>
              <w:rPr>
                <w:spacing w:val="2"/>
                <w:sz w:val="22"/>
              </w:rPr>
            </w:pPr>
            <w:r w:rsidRPr="00207BD3">
              <w:rPr>
                <w:sz w:val="22"/>
              </w:rPr>
              <w:t>achievement of professional qualifications attesting to their competenc</w:t>
            </w:r>
            <w:r w:rsidR="00DB06FA">
              <w:rPr>
                <w:sz w:val="22"/>
              </w:rPr>
              <w:t>e in the role covered by the S</w:t>
            </w:r>
            <w:r w:rsidRPr="00207BD3">
              <w:rPr>
                <w:sz w:val="22"/>
              </w:rPr>
              <w:t>VQ</w:t>
            </w:r>
            <w:r w:rsidR="008257E7">
              <w:rPr>
                <w:sz w:val="22"/>
              </w:rPr>
              <w:t>,</w:t>
            </w:r>
            <w:r w:rsidRPr="00207BD3">
              <w:rPr>
                <w:sz w:val="22"/>
              </w:rPr>
              <w:t xml:space="preserve"> </w:t>
            </w:r>
            <w:r w:rsidR="0083314D" w:rsidRPr="00207BD3">
              <w:rPr>
                <w:sz w:val="22"/>
              </w:rPr>
              <w:t>and/or</w:t>
            </w:r>
          </w:p>
          <w:p w:rsidR="00D659DD" w:rsidRPr="00207BD3" w:rsidRDefault="00D659DD" w:rsidP="00C3241C">
            <w:pPr>
              <w:numPr>
                <w:ilvl w:val="0"/>
                <w:numId w:val="28"/>
              </w:numPr>
              <w:spacing w:after="60"/>
              <w:rPr>
                <w:spacing w:val="2"/>
                <w:sz w:val="22"/>
              </w:rPr>
            </w:pPr>
            <w:r w:rsidRPr="00207BD3">
              <w:rPr>
                <w:sz w:val="22"/>
              </w:rPr>
              <w:t>experience in the supervision of people who perfo</w:t>
            </w:r>
            <w:r w:rsidR="00DB06FA">
              <w:rPr>
                <w:sz w:val="22"/>
              </w:rPr>
              <w:t>rm the role covered by the S</w:t>
            </w:r>
            <w:r w:rsidRPr="00207BD3">
              <w:rPr>
                <w:sz w:val="22"/>
              </w:rPr>
              <w:t>VQ</w:t>
            </w:r>
            <w:r w:rsidR="008257E7">
              <w:rPr>
                <w:sz w:val="22"/>
              </w:rPr>
              <w:t>,</w:t>
            </w:r>
            <w:r w:rsidRPr="00207BD3">
              <w:rPr>
                <w:sz w:val="22"/>
              </w:rPr>
              <w:t xml:space="preserve"> </w:t>
            </w:r>
            <w:r w:rsidR="0083314D" w:rsidRPr="00207BD3">
              <w:rPr>
                <w:sz w:val="22"/>
              </w:rPr>
              <w:t>and/or</w:t>
            </w:r>
          </w:p>
          <w:p w:rsidR="00D659DD" w:rsidRPr="00207BD3" w:rsidRDefault="00D659DD" w:rsidP="00C3241C">
            <w:pPr>
              <w:numPr>
                <w:ilvl w:val="0"/>
                <w:numId w:val="28"/>
              </w:numPr>
              <w:spacing w:after="60"/>
              <w:rPr>
                <w:spacing w:val="2"/>
                <w:sz w:val="22"/>
              </w:rPr>
            </w:pPr>
            <w:r w:rsidRPr="00207BD3">
              <w:rPr>
                <w:sz w:val="22"/>
              </w:rPr>
              <w:t>providing training in a workplace context for those who per</w:t>
            </w:r>
            <w:r w:rsidR="00DB06FA">
              <w:rPr>
                <w:sz w:val="22"/>
              </w:rPr>
              <w:t>form the role covered by the S</w:t>
            </w:r>
            <w:r w:rsidRPr="00207BD3">
              <w:rPr>
                <w:sz w:val="22"/>
              </w:rPr>
              <w:t>VQ</w:t>
            </w:r>
            <w:bookmarkEnd w:id="1"/>
            <w:bookmarkEnd w:id="2"/>
            <w:r w:rsidR="008257E7">
              <w:rPr>
                <w:sz w:val="22"/>
              </w:rPr>
              <w:t>.</w:t>
            </w:r>
          </w:p>
        </w:tc>
        <w:tc>
          <w:tcPr>
            <w:tcW w:w="4788" w:type="dxa"/>
          </w:tcPr>
          <w:p w:rsidR="00D659DD" w:rsidRPr="00207BD3" w:rsidRDefault="00D659DD" w:rsidP="00A954F5">
            <w:pPr>
              <w:pStyle w:val="BodyText"/>
              <w:spacing w:after="0"/>
            </w:pPr>
          </w:p>
          <w:p w:rsidR="00D659DD" w:rsidRPr="00207BD3" w:rsidRDefault="00D659DD" w:rsidP="008257E7">
            <w:pPr>
              <w:pStyle w:val="BodyText3"/>
              <w:spacing w:after="120"/>
              <w:rPr>
                <w:b/>
              </w:rPr>
            </w:pPr>
            <w:r w:rsidRPr="00207BD3">
              <w:t xml:space="preserve">Designated staff, approved by the awarding body, who take on the role of </w:t>
            </w:r>
            <w:r w:rsidRPr="00207BD3">
              <w:rPr>
                <w:b/>
              </w:rPr>
              <w:t>Internal Verifier</w:t>
            </w:r>
            <w:r w:rsidRPr="00207BD3">
              <w:t xml:space="preserve"> must:</w:t>
            </w:r>
          </w:p>
          <w:p w:rsidR="00D659DD" w:rsidRPr="00207BD3" w:rsidRDefault="008257E7" w:rsidP="008257E7">
            <w:pPr>
              <w:pStyle w:val="BodyText"/>
              <w:numPr>
                <w:ilvl w:val="0"/>
                <w:numId w:val="9"/>
              </w:numPr>
              <w:tabs>
                <w:tab w:val="clear" w:pos="720"/>
              </w:tabs>
              <w:spacing w:after="120"/>
              <w:ind w:left="360"/>
            </w:pPr>
            <w:r>
              <w:t>h</w:t>
            </w:r>
            <w:r w:rsidR="00D659DD" w:rsidRPr="00207BD3">
              <w:t>ave completed the company’s in-house training scheme which mus</w:t>
            </w:r>
            <w:r w:rsidR="007029B7" w:rsidRPr="00207BD3">
              <w:t xml:space="preserve">t have been confirmed </w:t>
            </w:r>
            <w:r w:rsidR="00D659DD" w:rsidRPr="00207BD3">
              <w:t xml:space="preserve"> by the awarding body as providing the equivalent level of rigour and robustness </w:t>
            </w:r>
            <w:bookmarkStart w:id="3" w:name="OLE_LINK3"/>
            <w:bookmarkStart w:id="4" w:name="OLE_LINK4"/>
            <w:r w:rsidR="00D659DD" w:rsidRPr="00207BD3">
              <w:t>of the regulatory body approved qualifications for internal verification</w:t>
            </w:r>
            <w:r>
              <w:t>;</w:t>
            </w:r>
          </w:p>
          <w:bookmarkEnd w:id="3"/>
          <w:bookmarkEnd w:id="4"/>
          <w:p w:rsidR="00D659DD" w:rsidRPr="00207BD3" w:rsidRDefault="00D659DD" w:rsidP="008257E7">
            <w:pPr>
              <w:numPr>
                <w:ilvl w:val="0"/>
                <w:numId w:val="3"/>
              </w:numPr>
              <w:tabs>
                <w:tab w:val="clear" w:pos="720"/>
              </w:tabs>
              <w:spacing w:after="120"/>
              <w:ind w:left="360"/>
              <w:rPr>
                <w:sz w:val="22"/>
              </w:rPr>
            </w:pPr>
            <w:r w:rsidRPr="00207BD3">
              <w:rPr>
                <w:sz w:val="22"/>
              </w:rPr>
              <w:t>have a sound and in-depth knowledg</w:t>
            </w:r>
            <w:r w:rsidR="008257E7">
              <w:rPr>
                <w:sz w:val="22"/>
              </w:rPr>
              <w:t>e of the occupational standards;</w:t>
            </w:r>
          </w:p>
          <w:p w:rsidR="00D659DD" w:rsidRPr="00207BD3" w:rsidRDefault="00D659DD" w:rsidP="008257E7">
            <w:pPr>
              <w:numPr>
                <w:ilvl w:val="0"/>
                <w:numId w:val="3"/>
              </w:numPr>
              <w:tabs>
                <w:tab w:val="clear" w:pos="720"/>
              </w:tabs>
              <w:spacing w:after="120"/>
              <w:ind w:left="360"/>
              <w:rPr>
                <w:spacing w:val="2"/>
                <w:sz w:val="22"/>
              </w:rPr>
            </w:pPr>
            <w:r w:rsidRPr="00207BD3">
              <w:rPr>
                <w:sz w:val="22"/>
              </w:rPr>
              <w:t>have credible up to date technical understanding, developed through:</w:t>
            </w:r>
          </w:p>
          <w:p w:rsidR="00D659DD" w:rsidRPr="00207BD3" w:rsidRDefault="00D659DD" w:rsidP="00055261">
            <w:pPr>
              <w:numPr>
                <w:ilvl w:val="0"/>
                <w:numId w:val="29"/>
              </w:numPr>
              <w:tabs>
                <w:tab w:val="clear" w:pos="1080"/>
                <w:tab w:val="num" w:pos="792"/>
              </w:tabs>
              <w:spacing w:after="60"/>
              <w:ind w:left="792"/>
              <w:rPr>
                <w:spacing w:val="2"/>
                <w:sz w:val="22"/>
              </w:rPr>
            </w:pPr>
            <w:r w:rsidRPr="00207BD3">
              <w:rPr>
                <w:sz w:val="22"/>
              </w:rPr>
              <w:t>experience as a practitione</w:t>
            </w:r>
            <w:r w:rsidR="00DB06FA">
              <w:rPr>
                <w:sz w:val="22"/>
              </w:rPr>
              <w:t>r in the role covered by the S</w:t>
            </w:r>
            <w:r w:rsidRPr="00207BD3">
              <w:rPr>
                <w:sz w:val="22"/>
              </w:rPr>
              <w:t>VQ</w:t>
            </w:r>
            <w:r w:rsidR="008257E7">
              <w:rPr>
                <w:sz w:val="22"/>
              </w:rPr>
              <w:t>,</w:t>
            </w:r>
            <w:r w:rsidRPr="00207BD3">
              <w:rPr>
                <w:sz w:val="22"/>
              </w:rPr>
              <w:t xml:space="preserve"> </w:t>
            </w:r>
            <w:r w:rsidR="0083314D" w:rsidRPr="00207BD3">
              <w:rPr>
                <w:sz w:val="22"/>
              </w:rPr>
              <w:t>and/or</w:t>
            </w:r>
          </w:p>
          <w:p w:rsidR="00D659DD" w:rsidRPr="00207BD3" w:rsidRDefault="00D659DD" w:rsidP="00055261">
            <w:pPr>
              <w:numPr>
                <w:ilvl w:val="0"/>
                <w:numId w:val="29"/>
              </w:numPr>
              <w:tabs>
                <w:tab w:val="clear" w:pos="1080"/>
                <w:tab w:val="num" w:pos="792"/>
              </w:tabs>
              <w:spacing w:after="60"/>
              <w:ind w:left="792"/>
              <w:rPr>
                <w:spacing w:val="2"/>
                <w:sz w:val="22"/>
              </w:rPr>
            </w:pPr>
            <w:r w:rsidRPr="00207BD3">
              <w:rPr>
                <w:sz w:val="22"/>
              </w:rPr>
              <w:t>achievement of professional qualifications attesting to their competence in the role cov</w:t>
            </w:r>
            <w:r w:rsidR="00DB06FA">
              <w:rPr>
                <w:sz w:val="22"/>
              </w:rPr>
              <w:t>ered by the S</w:t>
            </w:r>
            <w:r w:rsidRPr="00207BD3">
              <w:rPr>
                <w:sz w:val="22"/>
              </w:rPr>
              <w:t>VQ</w:t>
            </w:r>
            <w:r w:rsidR="008257E7">
              <w:rPr>
                <w:sz w:val="22"/>
              </w:rPr>
              <w:t>,</w:t>
            </w:r>
            <w:r w:rsidRPr="00207BD3">
              <w:rPr>
                <w:sz w:val="22"/>
              </w:rPr>
              <w:t xml:space="preserve"> </w:t>
            </w:r>
            <w:r w:rsidR="0083314D" w:rsidRPr="00207BD3">
              <w:rPr>
                <w:sz w:val="22"/>
              </w:rPr>
              <w:t>and/or</w:t>
            </w:r>
          </w:p>
          <w:p w:rsidR="00D659DD" w:rsidRPr="00207BD3" w:rsidRDefault="00D659DD" w:rsidP="00055261">
            <w:pPr>
              <w:numPr>
                <w:ilvl w:val="0"/>
                <w:numId w:val="29"/>
              </w:numPr>
              <w:tabs>
                <w:tab w:val="clear" w:pos="1080"/>
                <w:tab w:val="num" w:pos="792"/>
              </w:tabs>
              <w:spacing w:after="60"/>
              <w:ind w:left="792"/>
              <w:rPr>
                <w:spacing w:val="2"/>
                <w:sz w:val="22"/>
              </w:rPr>
            </w:pPr>
            <w:r w:rsidRPr="00207BD3">
              <w:rPr>
                <w:sz w:val="22"/>
              </w:rPr>
              <w:t>experience in the supervision of people who per</w:t>
            </w:r>
            <w:r w:rsidR="00DB06FA">
              <w:rPr>
                <w:sz w:val="22"/>
              </w:rPr>
              <w:t>form the role covered by the S</w:t>
            </w:r>
            <w:r w:rsidRPr="00207BD3">
              <w:rPr>
                <w:sz w:val="22"/>
              </w:rPr>
              <w:t>VQ</w:t>
            </w:r>
            <w:r w:rsidR="008257E7">
              <w:rPr>
                <w:sz w:val="22"/>
              </w:rPr>
              <w:t>,</w:t>
            </w:r>
            <w:r w:rsidRPr="00207BD3">
              <w:rPr>
                <w:sz w:val="22"/>
              </w:rPr>
              <w:t xml:space="preserve"> </w:t>
            </w:r>
            <w:r w:rsidR="0083314D" w:rsidRPr="00207BD3">
              <w:rPr>
                <w:sz w:val="22"/>
              </w:rPr>
              <w:t>and/or</w:t>
            </w:r>
          </w:p>
          <w:p w:rsidR="00D659DD" w:rsidRPr="00207BD3" w:rsidRDefault="00D659DD" w:rsidP="00055261">
            <w:pPr>
              <w:numPr>
                <w:ilvl w:val="0"/>
                <w:numId w:val="29"/>
              </w:numPr>
              <w:tabs>
                <w:tab w:val="clear" w:pos="1080"/>
                <w:tab w:val="num" w:pos="792"/>
              </w:tabs>
              <w:spacing w:after="60"/>
              <w:ind w:left="792"/>
              <w:rPr>
                <w:b/>
                <w:sz w:val="22"/>
              </w:rPr>
            </w:pPr>
            <w:r w:rsidRPr="00207BD3">
              <w:rPr>
                <w:sz w:val="22"/>
              </w:rPr>
              <w:lastRenderedPageBreak/>
              <w:t>providing training in a workplace context for those who per</w:t>
            </w:r>
            <w:r w:rsidR="00DB06FA">
              <w:rPr>
                <w:sz w:val="22"/>
              </w:rPr>
              <w:t>form the role covered by the S</w:t>
            </w:r>
            <w:r w:rsidRPr="00207BD3">
              <w:rPr>
                <w:sz w:val="22"/>
              </w:rPr>
              <w:t>VQ</w:t>
            </w:r>
            <w:r w:rsidR="008257E7">
              <w:rPr>
                <w:sz w:val="22"/>
              </w:rPr>
              <w:t>.</w:t>
            </w:r>
          </w:p>
        </w:tc>
      </w:tr>
    </w:tbl>
    <w:p w:rsidR="00870D7E" w:rsidRDefault="00870D7E" w:rsidP="00D659DD">
      <w:pPr>
        <w:tabs>
          <w:tab w:val="left" w:pos="720"/>
        </w:tabs>
        <w:ind w:left="720" w:hanging="720"/>
        <w:rPr>
          <w:spacing w:val="2"/>
          <w:sz w:val="22"/>
        </w:rPr>
      </w:pPr>
    </w:p>
    <w:p w:rsidR="007F2A1B" w:rsidRPr="00320C5D" w:rsidRDefault="007F2A1B" w:rsidP="007F2A1B">
      <w:pPr>
        <w:tabs>
          <w:tab w:val="num" w:pos="1512"/>
        </w:tabs>
        <w:spacing w:after="120"/>
        <w:rPr>
          <w:rFonts w:cs="Arial"/>
          <w:sz w:val="22"/>
          <w:szCs w:val="22"/>
        </w:rPr>
      </w:pPr>
      <w:r w:rsidRPr="008E5331">
        <w:rPr>
          <w:rFonts w:cs="Arial"/>
          <w:sz w:val="22"/>
          <w:szCs w:val="22"/>
        </w:rPr>
        <w:t>When</w:t>
      </w:r>
      <w:r w:rsidR="001A5223">
        <w:rPr>
          <w:rFonts w:cs="Arial"/>
          <w:sz w:val="22"/>
          <w:szCs w:val="22"/>
        </w:rPr>
        <w:t xml:space="preserve"> ensuring </w:t>
      </w:r>
      <w:r w:rsidR="00693D9B">
        <w:rPr>
          <w:rFonts w:cs="Arial"/>
          <w:sz w:val="22"/>
          <w:szCs w:val="22"/>
        </w:rPr>
        <w:t xml:space="preserve">centres </w:t>
      </w:r>
      <w:r w:rsidR="00693D9B" w:rsidRPr="008E5331">
        <w:rPr>
          <w:rFonts w:cs="Arial"/>
          <w:sz w:val="22"/>
          <w:szCs w:val="22"/>
        </w:rPr>
        <w:t>are</w:t>
      </w:r>
      <w:r w:rsidR="001A5223">
        <w:rPr>
          <w:rFonts w:cs="Arial"/>
          <w:sz w:val="22"/>
          <w:szCs w:val="22"/>
        </w:rPr>
        <w:t xml:space="preserve"> </w:t>
      </w:r>
      <w:r w:rsidRPr="008E5331">
        <w:rPr>
          <w:rFonts w:cs="Arial"/>
          <w:sz w:val="22"/>
          <w:szCs w:val="22"/>
        </w:rPr>
        <w:t>appoint</w:t>
      </w:r>
      <w:r w:rsidR="001A5223">
        <w:rPr>
          <w:rFonts w:cs="Arial"/>
          <w:sz w:val="22"/>
          <w:szCs w:val="22"/>
        </w:rPr>
        <w:t>ing</w:t>
      </w:r>
      <w:r w:rsidRPr="008E5331">
        <w:rPr>
          <w:rFonts w:cs="Arial"/>
          <w:sz w:val="22"/>
          <w:szCs w:val="22"/>
        </w:rPr>
        <w:t xml:space="preserve"> and retain</w:t>
      </w:r>
      <w:r w:rsidR="001A5223">
        <w:rPr>
          <w:rFonts w:cs="Arial"/>
          <w:sz w:val="22"/>
          <w:szCs w:val="22"/>
        </w:rPr>
        <w:t>ing</w:t>
      </w:r>
      <w:r w:rsidR="00DB06FA">
        <w:rPr>
          <w:rFonts w:cs="Arial"/>
          <w:sz w:val="22"/>
          <w:szCs w:val="22"/>
        </w:rPr>
        <w:t xml:space="preserve"> internal verifiers for S</w:t>
      </w:r>
      <w:r w:rsidRPr="008E5331">
        <w:rPr>
          <w:rFonts w:cs="Arial"/>
          <w:sz w:val="22"/>
          <w:szCs w:val="22"/>
        </w:rPr>
        <w:t xml:space="preserve">VQs in </w:t>
      </w:r>
      <w:r w:rsidR="00D36DDC" w:rsidRPr="008E5331">
        <w:rPr>
          <w:rFonts w:cs="Arial"/>
          <w:sz w:val="22"/>
          <w:szCs w:val="22"/>
        </w:rPr>
        <w:t>Providing</w:t>
      </w:r>
      <w:r w:rsidRPr="008E5331">
        <w:rPr>
          <w:rFonts w:cs="Arial"/>
          <w:sz w:val="22"/>
          <w:szCs w:val="22"/>
        </w:rPr>
        <w:t xml:space="preserve"> Financial Services, the </w:t>
      </w:r>
      <w:r w:rsidR="00DB06FA">
        <w:rPr>
          <w:rFonts w:cs="Arial"/>
          <w:sz w:val="22"/>
          <w:szCs w:val="22"/>
        </w:rPr>
        <w:t>Financial Skills Partnership</w:t>
      </w:r>
      <w:r w:rsidRPr="008E5331">
        <w:rPr>
          <w:rFonts w:cs="Arial"/>
          <w:sz w:val="22"/>
          <w:szCs w:val="22"/>
        </w:rPr>
        <w:t xml:space="preserve"> would expect </w:t>
      </w:r>
      <w:r w:rsidR="00BD6358">
        <w:rPr>
          <w:rFonts w:cs="Arial"/>
          <w:sz w:val="22"/>
          <w:szCs w:val="22"/>
        </w:rPr>
        <w:t>a</w:t>
      </w:r>
      <w:r w:rsidR="003F0066" w:rsidRPr="008E5331">
        <w:rPr>
          <w:rFonts w:cs="Arial"/>
          <w:sz w:val="22"/>
          <w:szCs w:val="22"/>
        </w:rPr>
        <w:t xml:space="preserve">warding </w:t>
      </w:r>
      <w:r w:rsidR="00BD6358">
        <w:rPr>
          <w:rFonts w:cs="Arial"/>
          <w:sz w:val="22"/>
          <w:szCs w:val="22"/>
        </w:rPr>
        <w:t>b</w:t>
      </w:r>
      <w:r w:rsidR="003F0066" w:rsidRPr="008E5331">
        <w:rPr>
          <w:rFonts w:cs="Arial"/>
          <w:sz w:val="22"/>
          <w:szCs w:val="22"/>
        </w:rPr>
        <w:t xml:space="preserve">odies to </w:t>
      </w:r>
      <w:r w:rsidRPr="008E5331">
        <w:rPr>
          <w:rFonts w:cs="Arial"/>
          <w:sz w:val="22"/>
          <w:szCs w:val="22"/>
        </w:rPr>
        <w:t xml:space="preserve">look for individuals who can </w:t>
      </w:r>
      <w:r w:rsidR="001319CE" w:rsidRPr="008E5331">
        <w:rPr>
          <w:rFonts w:cs="Arial"/>
          <w:sz w:val="22"/>
          <w:szCs w:val="22"/>
        </w:rPr>
        <w:t>demonstrate that</w:t>
      </w:r>
      <w:r w:rsidRPr="008E5331">
        <w:rPr>
          <w:rFonts w:cs="Arial"/>
          <w:sz w:val="22"/>
          <w:szCs w:val="22"/>
        </w:rPr>
        <w:t>:</w:t>
      </w:r>
    </w:p>
    <w:p w:rsidR="007F2A1B" w:rsidRPr="00320C5D" w:rsidRDefault="001319CE" w:rsidP="00C3241C">
      <w:pPr>
        <w:numPr>
          <w:ilvl w:val="0"/>
          <w:numId w:val="16"/>
        </w:numPr>
        <w:tabs>
          <w:tab w:val="clear" w:pos="720"/>
          <w:tab w:val="num" w:pos="480"/>
        </w:tabs>
        <w:spacing w:after="60"/>
        <w:ind w:left="489" w:hanging="302"/>
        <w:rPr>
          <w:rFonts w:cs="Arial"/>
          <w:sz w:val="22"/>
          <w:szCs w:val="22"/>
        </w:rPr>
      </w:pPr>
      <w:r>
        <w:rPr>
          <w:rFonts w:cs="Arial"/>
          <w:sz w:val="22"/>
          <w:szCs w:val="22"/>
        </w:rPr>
        <w:t xml:space="preserve">they </w:t>
      </w:r>
      <w:r w:rsidR="007F2A1B" w:rsidRPr="00320C5D">
        <w:rPr>
          <w:rFonts w:cs="Arial"/>
          <w:sz w:val="22"/>
          <w:szCs w:val="22"/>
        </w:rPr>
        <w:t xml:space="preserve">have credible expertise in </w:t>
      </w:r>
      <w:r w:rsidR="00D36DDC">
        <w:rPr>
          <w:rFonts w:cs="Arial"/>
          <w:sz w:val="22"/>
          <w:szCs w:val="22"/>
        </w:rPr>
        <w:t>Providing</w:t>
      </w:r>
      <w:r w:rsidR="007F2A1B">
        <w:rPr>
          <w:rFonts w:cs="Arial"/>
          <w:sz w:val="22"/>
          <w:szCs w:val="22"/>
        </w:rPr>
        <w:t xml:space="preserve"> Financial Services</w:t>
      </w:r>
      <w:r w:rsidR="007F2A1B" w:rsidRPr="00320C5D">
        <w:rPr>
          <w:rFonts w:cs="Arial"/>
          <w:sz w:val="22"/>
          <w:szCs w:val="22"/>
        </w:rPr>
        <w:t xml:space="preserve"> relevant to the level</w:t>
      </w:r>
      <w:r w:rsidR="007F2A1B">
        <w:rPr>
          <w:rFonts w:cs="Arial"/>
          <w:sz w:val="22"/>
          <w:szCs w:val="22"/>
        </w:rPr>
        <w:t>/</w:t>
      </w:r>
      <w:r w:rsidR="007F2A1B" w:rsidRPr="00320C5D">
        <w:rPr>
          <w:rFonts w:cs="Arial"/>
          <w:sz w:val="22"/>
          <w:szCs w:val="22"/>
        </w:rPr>
        <w:t xml:space="preserve">s of the </w:t>
      </w:r>
      <w:r w:rsidR="00DB06FA">
        <w:rPr>
          <w:rFonts w:cs="Arial"/>
          <w:sz w:val="22"/>
          <w:szCs w:val="22"/>
        </w:rPr>
        <w:t>S</w:t>
      </w:r>
      <w:r w:rsidR="007F2A1B">
        <w:rPr>
          <w:rFonts w:cs="Arial"/>
          <w:sz w:val="22"/>
          <w:szCs w:val="22"/>
        </w:rPr>
        <w:t>VQs they are seeking to verify</w:t>
      </w:r>
      <w:r w:rsidR="007F2A1B" w:rsidRPr="00320C5D">
        <w:rPr>
          <w:rFonts w:cs="Arial"/>
          <w:sz w:val="22"/>
          <w:szCs w:val="22"/>
        </w:rPr>
        <w:t xml:space="preserve">;  </w:t>
      </w:r>
    </w:p>
    <w:p w:rsidR="007F2A1B" w:rsidRPr="00320C5D" w:rsidRDefault="001319CE" w:rsidP="00C3241C">
      <w:pPr>
        <w:numPr>
          <w:ilvl w:val="0"/>
          <w:numId w:val="16"/>
        </w:numPr>
        <w:tabs>
          <w:tab w:val="clear" w:pos="720"/>
          <w:tab w:val="num" w:pos="480"/>
        </w:tabs>
        <w:spacing w:after="60"/>
        <w:ind w:left="489" w:hanging="302"/>
        <w:rPr>
          <w:rFonts w:cs="Arial"/>
          <w:sz w:val="22"/>
          <w:szCs w:val="22"/>
        </w:rPr>
      </w:pPr>
      <w:r>
        <w:rPr>
          <w:rFonts w:cs="Arial"/>
          <w:sz w:val="22"/>
          <w:szCs w:val="22"/>
        </w:rPr>
        <w:t xml:space="preserve">they </w:t>
      </w:r>
      <w:r w:rsidR="007F2A1B">
        <w:rPr>
          <w:rFonts w:cs="Arial"/>
          <w:sz w:val="22"/>
          <w:szCs w:val="22"/>
        </w:rPr>
        <w:t xml:space="preserve">have </w:t>
      </w:r>
      <w:r w:rsidR="007F2A1B" w:rsidRPr="00320C5D">
        <w:rPr>
          <w:rFonts w:cs="Arial"/>
          <w:sz w:val="22"/>
          <w:szCs w:val="22"/>
        </w:rPr>
        <w:t>kep</w:t>
      </w:r>
      <w:r w:rsidR="007F2A1B">
        <w:rPr>
          <w:rFonts w:cs="Arial"/>
          <w:sz w:val="22"/>
          <w:szCs w:val="22"/>
        </w:rPr>
        <w:t>t, and will continue to keep,</w:t>
      </w:r>
      <w:r w:rsidR="007F2A1B" w:rsidRPr="00320C5D">
        <w:rPr>
          <w:rFonts w:cs="Arial"/>
          <w:sz w:val="22"/>
          <w:szCs w:val="22"/>
        </w:rPr>
        <w:t xml:space="preserve"> themselves up-to-date with developments </w:t>
      </w:r>
      <w:r w:rsidR="007F2A1B">
        <w:rPr>
          <w:rFonts w:cs="Arial"/>
          <w:sz w:val="22"/>
          <w:szCs w:val="22"/>
        </w:rPr>
        <w:t xml:space="preserve">and practice in the </w:t>
      </w:r>
      <w:r w:rsidR="00D36DDC">
        <w:rPr>
          <w:rFonts w:cs="Arial"/>
          <w:sz w:val="22"/>
          <w:szCs w:val="22"/>
        </w:rPr>
        <w:t>Providing</w:t>
      </w:r>
      <w:r w:rsidR="007F2A1B">
        <w:rPr>
          <w:rFonts w:cs="Arial"/>
          <w:sz w:val="22"/>
          <w:szCs w:val="22"/>
        </w:rPr>
        <w:t xml:space="preserve"> Financial Services</w:t>
      </w:r>
      <w:r w:rsidR="007F2A1B" w:rsidRPr="00320C5D">
        <w:rPr>
          <w:rFonts w:cs="Arial"/>
          <w:sz w:val="22"/>
          <w:szCs w:val="22"/>
        </w:rPr>
        <w:t xml:space="preserve"> </w:t>
      </w:r>
      <w:r w:rsidR="007F2A1B">
        <w:rPr>
          <w:rFonts w:cs="Arial"/>
          <w:sz w:val="22"/>
          <w:szCs w:val="22"/>
        </w:rPr>
        <w:t>industry</w:t>
      </w:r>
      <w:r w:rsidR="007F2A1B" w:rsidRPr="00320C5D">
        <w:rPr>
          <w:rFonts w:cs="Arial"/>
          <w:sz w:val="22"/>
          <w:szCs w:val="22"/>
        </w:rPr>
        <w:t>;</w:t>
      </w:r>
    </w:p>
    <w:p w:rsidR="007F2A1B" w:rsidRPr="00320C5D" w:rsidRDefault="001319CE" w:rsidP="00C3241C">
      <w:pPr>
        <w:numPr>
          <w:ilvl w:val="0"/>
          <w:numId w:val="16"/>
        </w:numPr>
        <w:tabs>
          <w:tab w:val="clear" w:pos="720"/>
          <w:tab w:val="num" w:pos="480"/>
        </w:tabs>
        <w:spacing w:after="60"/>
        <w:ind w:left="489" w:hanging="302"/>
        <w:rPr>
          <w:rFonts w:cs="Arial"/>
          <w:sz w:val="22"/>
          <w:szCs w:val="22"/>
        </w:rPr>
      </w:pPr>
      <w:r>
        <w:rPr>
          <w:rFonts w:cs="Arial"/>
          <w:sz w:val="22"/>
          <w:szCs w:val="22"/>
        </w:rPr>
        <w:t xml:space="preserve">they </w:t>
      </w:r>
      <w:r w:rsidR="007F2A1B" w:rsidRPr="00320C5D">
        <w:rPr>
          <w:rFonts w:cs="Arial"/>
          <w:sz w:val="22"/>
          <w:szCs w:val="22"/>
        </w:rPr>
        <w:t xml:space="preserve">have a thorough understanding of the NOS for </w:t>
      </w:r>
      <w:r w:rsidR="00D36DDC">
        <w:rPr>
          <w:rFonts w:cs="Arial"/>
          <w:sz w:val="22"/>
          <w:szCs w:val="22"/>
        </w:rPr>
        <w:t>Providing</w:t>
      </w:r>
      <w:r w:rsidR="007F2A1B">
        <w:rPr>
          <w:rFonts w:cs="Arial"/>
          <w:sz w:val="22"/>
          <w:szCs w:val="22"/>
        </w:rPr>
        <w:t xml:space="preserve"> Financial Services at the level/s</w:t>
      </w:r>
      <w:r w:rsidR="007F2A1B" w:rsidRPr="00320C5D">
        <w:rPr>
          <w:rFonts w:cs="Arial"/>
          <w:sz w:val="22"/>
          <w:szCs w:val="22"/>
        </w:rPr>
        <w:t xml:space="preserve"> of the </w:t>
      </w:r>
      <w:r w:rsidR="00DB06FA">
        <w:rPr>
          <w:rFonts w:cs="Arial"/>
          <w:sz w:val="22"/>
          <w:szCs w:val="22"/>
        </w:rPr>
        <w:t>S</w:t>
      </w:r>
      <w:r w:rsidR="007F2A1B">
        <w:rPr>
          <w:rFonts w:cs="Arial"/>
          <w:sz w:val="22"/>
          <w:szCs w:val="22"/>
        </w:rPr>
        <w:t>VQs they are seeking to verify</w:t>
      </w:r>
      <w:r w:rsidR="007F2A1B" w:rsidRPr="00320C5D">
        <w:rPr>
          <w:rFonts w:cs="Arial"/>
          <w:sz w:val="22"/>
          <w:szCs w:val="22"/>
        </w:rPr>
        <w:t>.</w:t>
      </w:r>
    </w:p>
    <w:p w:rsidR="007F2A1B" w:rsidRPr="00320C5D" w:rsidRDefault="007F2A1B" w:rsidP="00C3241C">
      <w:pPr>
        <w:tabs>
          <w:tab w:val="num" w:pos="480"/>
        </w:tabs>
        <w:ind w:hanging="300"/>
        <w:rPr>
          <w:rFonts w:cs="Arial"/>
          <w:sz w:val="22"/>
          <w:szCs w:val="22"/>
        </w:rPr>
      </w:pPr>
    </w:p>
    <w:p w:rsidR="007F2A1B" w:rsidRPr="007110C6" w:rsidRDefault="007F2A1B" w:rsidP="00C3241C">
      <w:pPr>
        <w:tabs>
          <w:tab w:val="num" w:pos="480"/>
          <w:tab w:val="num" w:pos="1512"/>
        </w:tabs>
        <w:spacing w:after="120"/>
        <w:rPr>
          <w:rFonts w:cs="Arial"/>
          <w:sz w:val="22"/>
          <w:szCs w:val="22"/>
        </w:rPr>
      </w:pPr>
      <w:r>
        <w:rPr>
          <w:rFonts w:cs="Arial"/>
          <w:sz w:val="22"/>
          <w:szCs w:val="22"/>
        </w:rPr>
        <w:t>As part of the process, it is suggested that</w:t>
      </w:r>
      <w:r w:rsidRPr="007110C6">
        <w:rPr>
          <w:rFonts w:cs="Arial"/>
          <w:sz w:val="22"/>
          <w:szCs w:val="22"/>
        </w:rPr>
        <w:t xml:space="preserve"> centres should consider:</w:t>
      </w:r>
    </w:p>
    <w:p w:rsidR="007F2A1B" w:rsidRPr="007110C6" w:rsidRDefault="007F2A1B" w:rsidP="00C3241C">
      <w:pPr>
        <w:numPr>
          <w:ilvl w:val="0"/>
          <w:numId w:val="17"/>
        </w:numPr>
        <w:tabs>
          <w:tab w:val="clear" w:pos="720"/>
          <w:tab w:val="num" w:pos="480"/>
        </w:tabs>
        <w:spacing w:after="60"/>
        <w:ind w:left="489" w:hanging="302"/>
        <w:rPr>
          <w:rFonts w:cs="Arial"/>
          <w:sz w:val="22"/>
          <w:szCs w:val="22"/>
        </w:rPr>
      </w:pPr>
      <w:r w:rsidRPr="007110C6">
        <w:rPr>
          <w:rFonts w:cs="Arial"/>
          <w:sz w:val="22"/>
          <w:szCs w:val="22"/>
        </w:rPr>
        <w:t xml:space="preserve">what </w:t>
      </w:r>
      <w:r w:rsidR="00C3241C">
        <w:rPr>
          <w:rFonts w:cs="Arial"/>
          <w:sz w:val="22"/>
          <w:szCs w:val="22"/>
        </w:rPr>
        <w:t>previous</w:t>
      </w:r>
      <w:r>
        <w:rPr>
          <w:rFonts w:cs="Arial"/>
          <w:sz w:val="22"/>
          <w:szCs w:val="22"/>
        </w:rPr>
        <w:t xml:space="preserve"> </w:t>
      </w:r>
      <w:r w:rsidRPr="007110C6">
        <w:rPr>
          <w:rFonts w:cs="Arial"/>
          <w:sz w:val="22"/>
          <w:szCs w:val="22"/>
        </w:rPr>
        <w:t xml:space="preserve">posts they have held </w:t>
      </w:r>
      <w:r>
        <w:rPr>
          <w:rFonts w:cs="Arial"/>
          <w:sz w:val="22"/>
          <w:szCs w:val="22"/>
        </w:rPr>
        <w:t xml:space="preserve">and determine whether these are  relevant in </w:t>
      </w:r>
      <w:r w:rsidRPr="007110C6">
        <w:rPr>
          <w:rFonts w:cs="Arial"/>
          <w:sz w:val="22"/>
          <w:szCs w:val="22"/>
        </w:rPr>
        <w:t>providing expertise in the area of Financial Service</w:t>
      </w:r>
      <w:r>
        <w:rPr>
          <w:rFonts w:cs="Arial"/>
          <w:sz w:val="22"/>
          <w:szCs w:val="22"/>
        </w:rPr>
        <w:t>s internal verification;</w:t>
      </w:r>
    </w:p>
    <w:p w:rsidR="007F2A1B" w:rsidRPr="007110C6" w:rsidRDefault="007F2A1B" w:rsidP="00C3241C">
      <w:pPr>
        <w:numPr>
          <w:ilvl w:val="0"/>
          <w:numId w:val="17"/>
        </w:numPr>
        <w:tabs>
          <w:tab w:val="clear" w:pos="720"/>
          <w:tab w:val="num" w:pos="480"/>
        </w:tabs>
        <w:spacing w:after="60"/>
        <w:ind w:left="489" w:hanging="302"/>
        <w:rPr>
          <w:rFonts w:cs="Arial"/>
          <w:sz w:val="22"/>
          <w:szCs w:val="22"/>
        </w:rPr>
      </w:pPr>
      <w:r w:rsidRPr="007110C6">
        <w:rPr>
          <w:rFonts w:cs="Arial"/>
          <w:sz w:val="22"/>
          <w:szCs w:val="22"/>
        </w:rPr>
        <w:t>the relevance and currency of qualifications held</w:t>
      </w:r>
      <w:r>
        <w:rPr>
          <w:rFonts w:cs="Arial"/>
          <w:sz w:val="22"/>
          <w:szCs w:val="22"/>
        </w:rPr>
        <w:t>;</w:t>
      </w:r>
    </w:p>
    <w:p w:rsidR="007F2A1B" w:rsidRPr="007110C6" w:rsidRDefault="007F2A1B" w:rsidP="00C3241C">
      <w:pPr>
        <w:numPr>
          <w:ilvl w:val="0"/>
          <w:numId w:val="17"/>
        </w:numPr>
        <w:tabs>
          <w:tab w:val="clear" w:pos="720"/>
          <w:tab w:val="num" w:pos="480"/>
        </w:tabs>
        <w:spacing w:after="60"/>
        <w:ind w:left="489" w:hanging="302"/>
        <w:rPr>
          <w:rFonts w:cs="Arial"/>
          <w:sz w:val="22"/>
          <w:szCs w:val="22"/>
        </w:rPr>
      </w:pPr>
      <w:r w:rsidRPr="007110C6">
        <w:rPr>
          <w:rFonts w:cs="Arial"/>
          <w:sz w:val="22"/>
          <w:szCs w:val="22"/>
        </w:rPr>
        <w:t xml:space="preserve">the level at which these </w:t>
      </w:r>
      <w:r>
        <w:rPr>
          <w:rFonts w:cs="Arial"/>
          <w:sz w:val="22"/>
          <w:szCs w:val="22"/>
        </w:rPr>
        <w:t>posts have been held;</w:t>
      </w:r>
    </w:p>
    <w:p w:rsidR="00870D7E" w:rsidRPr="00CB146A" w:rsidRDefault="007F2A1B" w:rsidP="00C3241C">
      <w:pPr>
        <w:numPr>
          <w:ilvl w:val="0"/>
          <w:numId w:val="17"/>
        </w:numPr>
        <w:tabs>
          <w:tab w:val="clear" w:pos="720"/>
          <w:tab w:val="num" w:pos="480"/>
        </w:tabs>
        <w:spacing w:after="60"/>
        <w:ind w:left="489" w:hanging="302"/>
        <w:rPr>
          <w:rFonts w:cs="Arial"/>
          <w:sz w:val="22"/>
          <w:szCs w:val="22"/>
        </w:rPr>
      </w:pPr>
      <w:r w:rsidRPr="00CB146A">
        <w:rPr>
          <w:sz w:val="22"/>
          <w:szCs w:val="22"/>
        </w:rPr>
        <w:t xml:space="preserve">how familiar they are with the NOS for </w:t>
      </w:r>
      <w:r w:rsidR="00D36DDC">
        <w:rPr>
          <w:sz w:val="22"/>
          <w:szCs w:val="22"/>
        </w:rPr>
        <w:t>Providing</w:t>
      </w:r>
      <w:r w:rsidRPr="00CB146A">
        <w:rPr>
          <w:sz w:val="22"/>
          <w:szCs w:val="22"/>
        </w:rPr>
        <w:t xml:space="preserve"> Financial </w:t>
      </w:r>
      <w:r w:rsidR="00DB06FA">
        <w:rPr>
          <w:sz w:val="22"/>
          <w:szCs w:val="22"/>
        </w:rPr>
        <w:t>Services at the level of the S</w:t>
      </w:r>
      <w:r w:rsidRPr="00CB146A">
        <w:rPr>
          <w:sz w:val="22"/>
          <w:szCs w:val="22"/>
        </w:rPr>
        <w:t>VQs they are seeking to internally verify.</w:t>
      </w:r>
    </w:p>
    <w:p w:rsidR="00870D7E" w:rsidRDefault="00870D7E" w:rsidP="00D659DD">
      <w:pPr>
        <w:tabs>
          <w:tab w:val="left" w:pos="720"/>
        </w:tabs>
        <w:ind w:left="720" w:hanging="720"/>
        <w:rPr>
          <w:spacing w:val="2"/>
          <w:sz w:val="22"/>
        </w:rPr>
      </w:pPr>
    </w:p>
    <w:p w:rsidR="00D659DD" w:rsidRDefault="00D659DD" w:rsidP="00D659DD">
      <w:pPr>
        <w:spacing w:after="144"/>
        <w:rPr>
          <w:spacing w:val="2"/>
          <w:sz w:val="22"/>
          <w:u w:val="single"/>
        </w:rPr>
      </w:pPr>
      <w:r>
        <w:rPr>
          <w:spacing w:val="2"/>
          <w:sz w:val="22"/>
          <w:u w:val="single"/>
        </w:rPr>
        <w:t xml:space="preserve">Competence of Assessors </w:t>
      </w:r>
    </w:p>
    <w:p w:rsidR="00D659DD" w:rsidRDefault="00D659DD" w:rsidP="00D659DD">
      <w:pPr>
        <w:pStyle w:val="BodyText2"/>
        <w:jc w:val="left"/>
        <w:rPr>
          <w:spacing w:val="2"/>
        </w:rPr>
      </w:pPr>
      <w:r>
        <w:rPr>
          <w:spacing w:val="2"/>
        </w:rPr>
        <w:t>The primary responsibility of the assessor is to assess candidates to the required quality and consistency, against the national occupational standard.</w:t>
      </w:r>
      <w:r w:rsidR="00AC16E3">
        <w:rPr>
          <w:spacing w:val="2"/>
        </w:rPr>
        <w:t xml:space="preserve"> </w:t>
      </w:r>
      <w:r>
        <w:rPr>
          <w:spacing w:val="2"/>
        </w:rPr>
        <w:t xml:space="preserve"> It is important that an assessor can recognise occupational competence as specified by the national standard. </w:t>
      </w:r>
      <w:r w:rsidR="00AC16E3">
        <w:rPr>
          <w:spacing w:val="2"/>
        </w:rPr>
        <w:t xml:space="preserve"> </w:t>
      </w:r>
      <w:r>
        <w:rPr>
          <w:spacing w:val="2"/>
        </w:rPr>
        <w:t>Assessors therefore need to have a thorough understanding of assessment and quality assuranc</w:t>
      </w:r>
      <w:r w:rsidR="00C46D33">
        <w:rPr>
          <w:spacing w:val="2"/>
        </w:rPr>
        <w:t>e practices, as well as have in-</w:t>
      </w:r>
      <w:r>
        <w:rPr>
          <w:spacing w:val="2"/>
        </w:rPr>
        <w:t xml:space="preserve">depth </w:t>
      </w:r>
      <w:r w:rsidRPr="00C46D33">
        <w:rPr>
          <w:spacing w:val="2"/>
        </w:rPr>
        <w:t xml:space="preserve">technical competence </w:t>
      </w:r>
      <w:r>
        <w:rPr>
          <w:spacing w:val="2"/>
        </w:rPr>
        <w:t xml:space="preserve">related to the qualifications for which they are assessing candidates. </w:t>
      </w:r>
    </w:p>
    <w:p w:rsidR="00D659DD" w:rsidRDefault="00D659DD" w:rsidP="00D659DD">
      <w:pPr>
        <w:pStyle w:val="BodyText2"/>
        <w:jc w:val="left"/>
        <w:rPr>
          <w:spacing w:val="2"/>
        </w:rPr>
      </w:pPr>
    </w:p>
    <w:p w:rsidR="00D659DD" w:rsidRDefault="00D659DD" w:rsidP="008257E7">
      <w:pPr>
        <w:pStyle w:val="BodyText3"/>
        <w:tabs>
          <w:tab w:val="clear" w:pos="720"/>
        </w:tabs>
      </w:pPr>
      <w:r>
        <w:t>It will be the responsibility of the approved centre to select and appoint assessors.</w:t>
      </w:r>
      <w:r w:rsidR="008257E7">
        <w:t xml:space="preserve">  </w:t>
      </w:r>
      <w:r w:rsidR="00AC16E3">
        <w:t>The majority of a</w:t>
      </w:r>
      <w:r>
        <w:t xml:space="preserve">ssessors will operate under the standard model.  However, in some instances, awarding bodies may have agreed to adopt an employer equivalent training model.  </w:t>
      </w:r>
      <w:r w:rsidR="00AC16E3">
        <w:t>Requirements for a</w:t>
      </w:r>
      <w:r w:rsidR="001319CE">
        <w:t>ssessors under each of the two models follow</w:t>
      </w:r>
      <w:r>
        <w:t>:</w:t>
      </w:r>
    </w:p>
    <w:tbl>
      <w:tblPr>
        <w:tblW w:w="0" w:type="auto"/>
        <w:tblBorders>
          <w:insideH w:val="single" w:sz="4" w:space="0" w:color="auto"/>
          <w:insideV w:val="single" w:sz="4" w:space="0" w:color="auto"/>
        </w:tblBorders>
        <w:tblLook w:val="01E0" w:firstRow="1" w:lastRow="1" w:firstColumn="1" w:lastColumn="1" w:noHBand="0" w:noVBand="0"/>
      </w:tblPr>
      <w:tblGrid>
        <w:gridCol w:w="4788"/>
        <w:gridCol w:w="4788"/>
      </w:tblGrid>
      <w:tr w:rsidR="00D659DD">
        <w:tc>
          <w:tcPr>
            <w:tcW w:w="4788" w:type="dxa"/>
            <w:vAlign w:val="center"/>
          </w:tcPr>
          <w:p w:rsidR="00D659DD" w:rsidRPr="00925E6A" w:rsidRDefault="00D659DD" w:rsidP="00C3241C">
            <w:pPr>
              <w:spacing w:before="60" w:after="60"/>
              <w:rPr>
                <w:b/>
                <w:spacing w:val="2"/>
                <w:sz w:val="22"/>
              </w:rPr>
            </w:pPr>
            <w:r w:rsidRPr="00925E6A">
              <w:rPr>
                <w:b/>
                <w:spacing w:val="2"/>
                <w:sz w:val="22"/>
              </w:rPr>
              <w:t>Assessors/Workplace Assessors</w:t>
            </w:r>
          </w:p>
        </w:tc>
        <w:tc>
          <w:tcPr>
            <w:tcW w:w="4788" w:type="dxa"/>
            <w:vAlign w:val="center"/>
          </w:tcPr>
          <w:p w:rsidR="00D659DD" w:rsidRPr="00925E6A" w:rsidRDefault="00D659DD" w:rsidP="00C3241C">
            <w:pPr>
              <w:spacing w:before="60" w:after="60"/>
              <w:rPr>
                <w:b/>
                <w:spacing w:val="2"/>
                <w:sz w:val="22"/>
              </w:rPr>
            </w:pPr>
            <w:r w:rsidRPr="00925E6A">
              <w:rPr>
                <w:b/>
                <w:spacing w:val="2"/>
                <w:sz w:val="22"/>
              </w:rPr>
              <w:t>Employer Equivalent Training Model</w:t>
            </w:r>
          </w:p>
        </w:tc>
      </w:tr>
      <w:tr w:rsidR="00D659DD">
        <w:tc>
          <w:tcPr>
            <w:tcW w:w="4788" w:type="dxa"/>
          </w:tcPr>
          <w:p w:rsidR="00D659DD" w:rsidRDefault="00D659DD" w:rsidP="00C0756C">
            <w:pPr>
              <w:pStyle w:val="BodyText"/>
              <w:spacing w:before="120" w:after="120"/>
            </w:pPr>
            <w:r w:rsidRPr="00925E6A">
              <w:t xml:space="preserve">Assessors must: </w:t>
            </w:r>
          </w:p>
          <w:p w:rsidR="00D659DD" w:rsidRPr="00925E6A" w:rsidRDefault="00D659DD" w:rsidP="00925E6A">
            <w:pPr>
              <w:pStyle w:val="BodyTextIndent"/>
              <w:numPr>
                <w:ilvl w:val="0"/>
                <w:numId w:val="4"/>
              </w:numPr>
              <w:tabs>
                <w:tab w:val="clear" w:pos="720"/>
                <w:tab w:val="clear" w:pos="1134"/>
              </w:tabs>
              <w:ind w:left="540"/>
              <w:jc w:val="left"/>
            </w:pPr>
            <w:r w:rsidRPr="00925E6A">
              <w:t>hold (or be working towards) an appropriate qualification, as specified by the regulatory authorities, confirmin</w:t>
            </w:r>
            <w:r w:rsidR="00DB06FA">
              <w:t>g their competence to assess S</w:t>
            </w:r>
            <w:r w:rsidRPr="00925E6A">
              <w:t>VQ candidates</w:t>
            </w:r>
            <w:r w:rsidR="00C0756C" w:rsidRPr="00925E6A">
              <w:t>;</w:t>
            </w:r>
          </w:p>
          <w:p w:rsidR="00250AD6" w:rsidRPr="00925E6A" w:rsidRDefault="00250AD6" w:rsidP="00925E6A">
            <w:pPr>
              <w:pStyle w:val="BodyTextIndent"/>
              <w:tabs>
                <w:tab w:val="clear" w:pos="720"/>
                <w:tab w:val="num" w:pos="1134"/>
              </w:tabs>
              <w:ind w:left="540" w:hanging="360"/>
              <w:jc w:val="left"/>
            </w:pPr>
          </w:p>
          <w:p w:rsidR="00D659DD" w:rsidRPr="00925E6A" w:rsidRDefault="00D659DD" w:rsidP="008257E7">
            <w:pPr>
              <w:numPr>
                <w:ilvl w:val="0"/>
                <w:numId w:val="4"/>
              </w:numPr>
              <w:tabs>
                <w:tab w:val="clear" w:pos="720"/>
                <w:tab w:val="num" w:pos="540"/>
                <w:tab w:val="num" w:pos="1134"/>
              </w:tabs>
              <w:spacing w:after="60"/>
              <w:ind w:left="540"/>
              <w:rPr>
                <w:spacing w:val="2"/>
                <w:sz w:val="22"/>
                <w:szCs w:val="22"/>
              </w:rPr>
            </w:pPr>
            <w:r w:rsidRPr="00925E6A">
              <w:rPr>
                <w:sz w:val="22"/>
                <w:szCs w:val="22"/>
              </w:rPr>
              <w:t>have credible up to date technical competence, developed through:</w:t>
            </w:r>
          </w:p>
          <w:p w:rsidR="00D659DD" w:rsidRPr="00925E6A" w:rsidRDefault="00C0756C" w:rsidP="00925E6A">
            <w:pPr>
              <w:numPr>
                <w:ilvl w:val="1"/>
                <w:numId w:val="31"/>
              </w:numPr>
              <w:tabs>
                <w:tab w:val="clear" w:pos="1440"/>
                <w:tab w:val="num" w:pos="720"/>
              </w:tabs>
              <w:spacing w:before="60" w:after="60"/>
              <w:ind w:left="720"/>
              <w:rPr>
                <w:spacing w:val="2"/>
                <w:sz w:val="22"/>
                <w:szCs w:val="22"/>
              </w:rPr>
            </w:pPr>
            <w:r w:rsidRPr="00925E6A">
              <w:rPr>
                <w:sz w:val="22"/>
                <w:szCs w:val="22"/>
              </w:rPr>
              <w:t>e</w:t>
            </w:r>
            <w:r w:rsidR="00D659DD" w:rsidRPr="00925E6A">
              <w:rPr>
                <w:sz w:val="22"/>
                <w:szCs w:val="22"/>
              </w:rPr>
              <w:t xml:space="preserve">xpertise gained in recent actual </w:t>
            </w:r>
            <w:r w:rsidR="00D659DD" w:rsidRPr="00925E6A">
              <w:rPr>
                <w:sz w:val="22"/>
                <w:szCs w:val="22"/>
              </w:rPr>
              <w:lastRenderedPageBreak/>
              <w:t>experience of working in the occupational area</w:t>
            </w:r>
            <w:r w:rsidR="008257E7">
              <w:rPr>
                <w:sz w:val="22"/>
                <w:szCs w:val="22"/>
              </w:rPr>
              <w:t>,</w:t>
            </w:r>
            <w:r w:rsidR="00D659DD" w:rsidRPr="00925E6A">
              <w:rPr>
                <w:spacing w:val="2"/>
                <w:sz w:val="22"/>
                <w:szCs w:val="22"/>
              </w:rPr>
              <w:t xml:space="preserve"> </w:t>
            </w:r>
            <w:r w:rsidR="0083314D" w:rsidRPr="00925E6A">
              <w:rPr>
                <w:spacing w:val="2"/>
                <w:sz w:val="22"/>
                <w:szCs w:val="22"/>
              </w:rPr>
              <w:t>and</w:t>
            </w:r>
            <w:r w:rsidR="00D659DD" w:rsidRPr="00925E6A">
              <w:rPr>
                <w:spacing w:val="2"/>
                <w:sz w:val="22"/>
                <w:szCs w:val="22"/>
              </w:rPr>
              <w:t>/</w:t>
            </w:r>
            <w:r w:rsidR="0083314D" w:rsidRPr="00925E6A">
              <w:rPr>
                <w:spacing w:val="2"/>
                <w:sz w:val="22"/>
                <w:szCs w:val="22"/>
              </w:rPr>
              <w:t>or</w:t>
            </w:r>
          </w:p>
          <w:p w:rsidR="00D659DD" w:rsidRPr="00925E6A" w:rsidRDefault="00C0756C" w:rsidP="00925E6A">
            <w:pPr>
              <w:numPr>
                <w:ilvl w:val="1"/>
                <w:numId w:val="31"/>
              </w:numPr>
              <w:tabs>
                <w:tab w:val="clear" w:pos="1440"/>
                <w:tab w:val="num" w:pos="720"/>
              </w:tabs>
              <w:spacing w:before="60" w:after="60"/>
              <w:ind w:left="720"/>
              <w:rPr>
                <w:spacing w:val="2"/>
                <w:sz w:val="22"/>
                <w:szCs w:val="22"/>
              </w:rPr>
            </w:pPr>
            <w:r w:rsidRPr="00925E6A">
              <w:rPr>
                <w:spacing w:val="2"/>
                <w:sz w:val="22"/>
                <w:szCs w:val="22"/>
              </w:rPr>
              <w:t>a</w:t>
            </w:r>
            <w:r w:rsidR="00D659DD" w:rsidRPr="00925E6A">
              <w:rPr>
                <w:spacing w:val="2"/>
                <w:sz w:val="22"/>
                <w:szCs w:val="22"/>
              </w:rPr>
              <w:t>chievement of qualifications which attest to their competen</w:t>
            </w:r>
            <w:r w:rsidR="00DB06FA">
              <w:rPr>
                <w:spacing w:val="2"/>
                <w:sz w:val="22"/>
                <w:szCs w:val="22"/>
              </w:rPr>
              <w:t>ce in the role covered by the S</w:t>
            </w:r>
            <w:r w:rsidR="00D659DD" w:rsidRPr="00925E6A">
              <w:rPr>
                <w:spacing w:val="2"/>
                <w:sz w:val="22"/>
                <w:szCs w:val="22"/>
              </w:rPr>
              <w:t>VQ</w:t>
            </w:r>
            <w:r w:rsidR="008257E7">
              <w:rPr>
                <w:spacing w:val="2"/>
                <w:sz w:val="22"/>
                <w:szCs w:val="22"/>
              </w:rPr>
              <w:t>,</w:t>
            </w:r>
            <w:r w:rsidR="00D659DD" w:rsidRPr="00925E6A">
              <w:rPr>
                <w:spacing w:val="2"/>
                <w:sz w:val="22"/>
                <w:szCs w:val="22"/>
              </w:rPr>
              <w:t xml:space="preserve"> </w:t>
            </w:r>
            <w:r w:rsidR="0083314D" w:rsidRPr="00925E6A">
              <w:rPr>
                <w:spacing w:val="2"/>
                <w:sz w:val="22"/>
                <w:szCs w:val="22"/>
              </w:rPr>
              <w:t>and</w:t>
            </w:r>
            <w:r w:rsidR="00D659DD" w:rsidRPr="00925E6A">
              <w:rPr>
                <w:spacing w:val="2"/>
                <w:sz w:val="22"/>
                <w:szCs w:val="22"/>
              </w:rPr>
              <w:t>/</w:t>
            </w:r>
            <w:r w:rsidR="0083314D" w:rsidRPr="00925E6A">
              <w:rPr>
                <w:spacing w:val="2"/>
                <w:sz w:val="22"/>
                <w:szCs w:val="22"/>
              </w:rPr>
              <w:t>or</w:t>
            </w:r>
          </w:p>
          <w:p w:rsidR="00D659DD" w:rsidRPr="00925E6A" w:rsidRDefault="00C0756C" w:rsidP="00925E6A">
            <w:pPr>
              <w:numPr>
                <w:ilvl w:val="1"/>
                <w:numId w:val="31"/>
              </w:numPr>
              <w:tabs>
                <w:tab w:val="clear" w:pos="1440"/>
                <w:tab w:val="num" w:pos="720"/>
              </w:tabs>
              <w:spacing w:before="60" w:after="60"/>
              <w:ind w:left="720"/>
              <w:rPr>
                <w:spacing w:val="2"/>
                <w:sz w:val="22"/>
                <w:szCs w:val="22"/>
              </w:rPr>
            </w:pPr>
            <w:r w:rsidRPr="00925E6A">
              <w:rPr>
                <w:spacing w:val="2"/>
                <w:sz w:val="22"/>
                <w:szCs w:val="22"/>
              </w:rPr>
              <w:t>e</w:t>
            </w:r>
            <w:r w:rsidR="00D659DD" w:rsidRPr="00925E6A">
              <w:rPr>
                <w:spacing w:val="2"/>
                <w:sz w:val="22"/>
                <w:szCs w:val="22"/>
              </w:rPr>
              <w:t>xperience in supervising people who</w:t>
            </w:r>
            <w:r w:rsidR="00DB06FA">
              <w:rPr>
                <w:spacing w:val="2"/>
                <w:sz w:val="22"/>
                <w:szCs w:val="22"/>
              </w:rPr>
              <w:t xml:space="preserve"> perform the role covered by S</w:t>
            </w:r>
            <w:r w:rsidR="00D659DD" w:rsidRPr="00925E6A">
              <w:rPr>
                <w:spacing w:val="2"/>
                <w:sz w:val="22"/>
                <w:szCs w:val="22"/>
              </w:rPr>
              <w:t>VQ</w:t>
            </w:r>
            <w:r w:rsidR="008257E7">
              <w:rPr>
                <w:spacing w:val="2"/>
                <w:sz w:val="22"/>
                <w:szCs w:val="22"/>
              </w:rPr>
              <w:t>,</w:t>
            </w:r>
            <w:r w:rsidR="00D659DD" w:rsidRPr="00925E6A">
              <w:rPr>
                <w:spacing w:val="2"/>
                <w:sz w:val="22"/>
                <w:szCs w:val="22"/>
              </w:rPr>
              <w:t xml:space="preserve"> </w:t>
            </w:r>
            <w:r w:rsidR="0083314D" w:rsidRPr="00925E6A">
              <w:rPr>
                <w:spacing w:val="2"/>
                <w:sz w:val="22"/>
                <w:szCs w:val="22"/>
              </w:rPr>
              <w:t>and</w:t>
            </w:r>
            <w:r w:rsidR="00D659DD" w:rsidRPr="00925E6A">
              <w:rPr>
                <w:spacing w:val="2"/>
                <w:sz w:val="22"/>
                <w:szCs w:val="22"/>
              </w:rPr>
              <w:t>/</w:t>
            </w:r>
            <w:r w:rsidR="0083314D" w:rsidRPr="00925E6A">
              <w:rPr>
                <w:spacing w:val="2"/>
                <w:sz w:val="22"/>
                <w:szCs w:val="22"/>
              </w:rPr>
              <w:t>or</w:t>
            </w:r>
          </w:p>
          <w:p w:rsidR="00D659DD" w:rsidRPr="00925E6A" w:rsidRDefault="00C0756C" w:rsidP="00925E6A">
            <w:pPr>
              <w:numPr>
                <w:ilvl w:val="1"/>
                <w:numId w:val="31"/>
              </w:numPr>
              <w:tabs>
                <w:tab w:val="clear" w:pos="1440"/>
                <w:tab w:val="num" w:pos="720"/>
              </w:tabs>
              <w:spacing w:before="60" w:after="60"/>
              <w:ind w:left="720"/>
              <w:rPr>
                <w:spacing w:val="2"/>
                <w:sz w:val="22"/>
                <w:szCs w:val="22"/>
              </w:rPr>
            </w:pPr>
            <w:r w:rsidRPr="00925E6A">
              <w:rPr>
                <w:sz w:val="22"/>
                <w:szCs w:val="22"/>
              </w:rPr>
              <w:t>e</w:t>
            </w:r>
            <w:r w:rsidR="00D659DD" w:rsidRPr="00925E6A">
              <w:rPr>
                <w:sz w:val="22"/>
                <w:szCs w:val="22"/>
              </w:rPr>
              <w:t xml:space="preserve">xperience gained in providing training in a workplace context for those who perform </w:t>
            </w:r>
            <w:r w:rsidR="00DB06FA">
              <w:rPr>
                <w:sz w:val="22"/>
                <w:szCs w:val="22"/>
              </w:rPr>
              <w:t>the role covered by the S</w:t>
            </w:r>
            <w:r w:rsidR="00D659DD" w:rsidRPr="00925E6A">
              <w:rPr>
                <w:sz w:val="22"/>
                <w:szCs w:val="22"/>
              </w:rPr>
              <w:t>VQ</w:t>
            </w:r>
            <w:r w:rsidRPr="00925E6A">
              <w:rPr>
                <w:sz w:val="22"/>
                <w:szCs w:val="22"/>
              </w:rPr>
              <w:t>.</w:t>
            </w:r>
          </w:p>
        </w:tc>
        <w:tc>
          <w:tcPr>
            <w:tcW w:w="4788" w:type="dxa"/>
          </w:tcPr>
          <w:p w:rsidR="00D659DD" w:rsidRPr="00925E6A" w:rsidRDefault="00D659DD" w:rsidP="00C0756C">
            <w:pPr>
              <w:pStyle w:val="BodyText"/>
              <w:spacing w:before="120" w:after="120"/>
            </w:pPr>
            <w:r w:rsidRPr="00925E6A">
              <w:rPr>
                <w:bCs/>
              </w:rPr>
              <w:lastRenderedPageBreak/>
              <w:t>Designated staff, approved by the awarding body, who take on the role of assessors must:</w:t>
            </w:r>
          </w:p>
          <w:p w:rsidR="00D659DD" w:rsidRPr="00925E6A" w:rsidRDefault="00C0756C" w:rsidP="008257E7">
            <w:pPr>
              <w:pStyle w:val="BodyText"/>
              <w:numPr>
                <w:ilvl w:val="0"/>
                <w:numId w:val="9"/>
              </w:numPr>
              <w:tabs>
                <w:tab w:val="clear" w:pos="720"/>
                <w:tab w:val="num" w:pos="612"/>
              </w:tabs>
              <w:spacing w:after="0"/>
              <w:ind w:left="612"/>
            </w:pPr>
            <w:r w:rsidRPr="00925E6A">
              <w:t>h</w:t>
            </w:r>
            <w:r w:rsidR="00D659DD" w:rsidRPr="00925E6A">
              <w:t>ave completed the company’s in- house training scheme whi</w:t>
            </w:r>
            <w:r w:rsidR="007029B7" w:rsidRPr="00925E6A">
              <w:t>ch has been confirmed</w:t>
            </w:r>
            <w:r w:rsidR="00D659DD" w:rsidRPr="00925E6A">
              <w:t xml:space="preserve"> by the awarding body as providing the equivalent level of rigour and robustness of the regulatory body approved qualifications for assessment</w:t>
            </w:r>
            <w:r w:rsidR="008257E7">
              <w:t>;</w:t>
            </w:r>
          </w:p>
          <w:p w:rsidR="00250AD6" w:rsidRPr="00925E6A" w:rsidRDefault="00250AD6" w:rsidP="00250AD6">
            <w:pPr>
              <w:pStyle w:val="BodyText"/>
              <w:spacing w:after="0"/>
              <w:ind w:left="360"/>
            </w:pPr>
          </w:p>
          <w:p w:rsidR="00D659DD" w:rsidRPr="00925E6A" w:rsidRDefault="00D659DD" w:rsidP="00D659DD">
            <w:pPr>
              <w:numPr>
                <w:ilvl w:val="0"/>
                <w:numId w:val="4"/>
              </w:numPr>
              <w:tabs>
                <w:tab w:val="num" w:pos="1134"/>
              </w:tabs>
              <w:rPr>
                <w:spacing w:val="2"/>
                <w:sz w:val="22"/>
                <w:szCs w:val="22"/>
              </w:rPr>
            </w:pPr>
            <w:r w:rsidRPr="00925E6A">
              <w:rPr>
                <w:sz w:val="22"/>
                <w:szCs w:val="22"/>
              </w:rPr>
              <w:t xml:space="preserve">have credible up to date technical </w:t>
            </w:r>
            <w:r w:rsidRPr="00925E6A">
              <w:rPr>
                <w:sz w:val="22"/>
                <w:szCs w:val="22"/>
              </w:rPr>
              <w:lastRenderedPageBreak/>
              <w:t>competence, developed through:</w:t>
            </w:r>
          </w:p>
          <w:p w:rsidR="00D659DD" w:rsidRPr="00925E6A" w:rsidRDefault="00C0756C" w:rsidP="00430F4A">
            <w:pPr>
              <w:numPr>
                <w:ilvl w:val="1"/>
                <w:numId w:val="33"/>
              </w:numPr>
              <w:tabs>
                <w:tab w:val="clear" w:pos="1440"/>
                <w:tab w:val="num" w:pos="1152"/>
              </w:tabs>
              <w:spacing w:before="60" w:after="60"/>
              <w:ind w:left="1152"/>
              <w:rPr>
                <w:spacing w:val="2"/>
                <w:sz w:val="22"/>
                <w:szCs w:val="22"/>
              </w:rPr>
            </w:pPr>
            <w:r w:rsidRPr="00925E6A">
              <w:rPr>
                <w:sz w:val="22"/>
                <w:szCs w:val="22"/>
              </w:rPr>
              <w:t>e</w:t>
            </w:r>
            <w:r w:rsidR="00D659DD" w:rsidRPr="00925E6A">
              <w:rPr>
                <w:sz w:val="22"/>
                <w:szCs w:val="22"/>
              </w:rPr>
              <w:t>xpertise gained in recent actual experience of working in the occupational area</w:t>
            </w:r>
            <w:r w:rsidRPr="00925E6A">
              <w:rPr>
                <w:sz w:val="22"/>
                <w:szCs w:val="22"/>
              </w:rPr>
              <w:t>,</w:t>
            </w:r>
            <w:r w:rsidR="00D659DD" w:rsidRPr="00925E6A">
              <w:rPr>
                <w:spacing w:val="2"/>
                <w:sz w:val="22"/>
                <w:szCs w:val="22"/>
              </w:rPr>
              <w:t xml:space="preserve"> </w:t>
            </w:r>
            <w:r w:rsidR="0083314D" w:rsidRPr="00925E6A">
              <w:rPr>
                <w:spacing w:val="2"/>
                <w:sz w:val="22"/>
                <w:szCs w:val="22"/>
              </w:rPr>
              <w:t>and/or</w:t>
            </w:r>
          </w:p>
          <w:p w:rsidR="00D659DD" w:rsidRPr="00925E6A" w:rsidRDefault="00C0756C" w:rsidP="00430F4A">
            <w:pPr>
              <w:numPr>
                <w:ilvl w:val="1"/>
                <w:numId w:val="33"/>
              </w:numPr>
              <w:tabs>
                <w:tab w:val="clear" w:pos="1440"/>
                <w:tab w:val="num" w:pos="1152"/>
              </w:tabs>
              <w:spacing w:before="60" w:after="60"/>
              <w:ind w:left="1152"/>
              <w:rPr>
                <w:spacing w:val="2"/>
                <w:sz w:val="22"/>
                <w:szCs w:val="22"/>
              </w:rPr>
            </w:pPr>
            <w:r w:rsidRPr="00925E6A">
              <w:rPr>
                <w:spacing w:val="2"/>
                <w:sz w:val="22"/>
                <w:szCs w:val="22"/>
              </w:rPr>
              <w:t xml:space="preserve">achievement </w:t>
            </w:r>
            <w:r w:rsidR="00D659DD" w:rsidRPr="00925E6A">
              <w:rPr>
                <w:spacing w:val="2"/>
                <w:sz w:val="22"/>
                <w:szCs w:val="22"/>
              </w:rPr>
              <w:t>of qualifications which attest to their competen</w:t>
            </w:r>
            <w:r w:rsidR="00DB06FA">
              <w:rPr>
                <w:spacing w:val="2"/>
                <w:sz w:val="22"/>
                <w:szCs w:val="22"/>
              </w:rPr>
              <w:t>ce in the role covered by the S</w:t>
            </w:r>
            <w:r w:rsidR="00D659DD" w:rsidRPr="00925E6A">
              <w:rPr>
                <w:spacing w:val="2"/>
                <w:sz w:val="22"/>
                <w:szCs w:val="22"/>
              </w:rPr>
              <w:t>VQ</w:t>
            </w:r>
            <w:r w:rsidR="008257E7">
              <w:rPr>
                <w:spacing w:val="2"/>
                <w:sz w:val="22"/>
                <w:szCs w:val="22"/>
              </w:rPr>
              <w:t>,</w:t>
            </w:r>
            <w:r w:rsidR="00D659DD" w:rsidRPr="00925E6A">
              <w:rPr>
                <w:spacing w:val="2"/>
                <w:sz w:val="22"/>
                <w:szCs w:val="22"/>
              </w:rPr>
              <w:t xml:space="preserve"> </w:t>
            </w:r>
            <w:r w:rsidR="0083314D" w:rsidRPr="00925E6A">
              <w:rPr>
                <w:spacing w:val="2"/>
                <w:sz w:val="22"/>
                <w:szCs w:val="22"/>
              </w:rPr>
              <w:t>and/or</w:t>
            </w:r>
          </w:p>
          <w:p w:rsidR="00D659DD" w:rsidRPr="00925E6A" w:rsidRDefault="00C0756C" w:rsidP="00430F4A">
            <w:pPr>
              <w:numPr>
                <w:ilvl w:val="1"/>
                <w:numId w:val="33"/>
              </w:numPr>
              <w:tabs>
                <w:tab w:val="clear" w:pos="1440"/>
                <w:tab w:val="num" w:pos="1152"/>
              </w:tabs>
              <w:spacing w:before="60" w:after="60"/>
              <w:ind w:left="1152"/>
              <w:rPr>
                <w:spacing w:val="2"/>
                <w:sz w:val="22"/>
                <w:szCs w:val="22"/>
              </w:rPr>
            </w:pPr>
            <w:r w:rsidRPr="00925E6A">
              <w:rPr>
                <w:spacing w:val="2"/>
                <w:sz w:val="22"/>
                <w:szCs w:val="22"/>
              </w:rPr>
              <w:t>e</w:t>
            </w:r>
            <w:r w:rsidR="00D659DD" w:rsidRPr="00925E6A">
              <w:rPr>
                <w:spacing w:val="2"/>
                <w:sz w:val="22"/>
                <w:szCs w:val="22"/>
              </w:rPr>
              <w:t>xperience in supervising people who</w:t>
            </w:r>
            <w:r w:rsidR="00DB06FA">
              <w:rPr>
                <w:spacing w:val="2"/>
                <w:sz w:val="22"/>
                <w:szCs w:val="22"/>
              </w:rPr>
              <w:t xml:space="preserve"> perform the role covered by S</w:t>
            </w:r>
            <w:r w:rsidR="00D659DD" w:rsidRPr="00925E6A">
              <w:rPr>
                <w:spacing w:val="2"/>
                <w:sz w:val="22"/>
                <w:szCs w:val="22"/>
              </w:rPr>
              <w:t>VQ</w:t>
            </w:r>
            <w:r w:rsidR="008257E7">
              <w:rPr>
                <w:spacing w:val="2"/>
                <w:sz w:val="22"/>
                <w:szCs w:val="22"/>
              </w:rPr>
              <w:t>,</w:t>
            </w:r>
            <w:r w:rsidR="00D659DD" w:rsidRPr="00925E6A">
              <w:rPr>
                <w:spacing w:val="2"/>
                <w:sz w:val="22"/>
                <w:szCs w:val="22"/>
              </w:rPr>
              <w:t xml:space="preserve"> </w:t>
            </w:r>
            <w:r w:rsidR="0083314D" w:rsidRPr="00925E6A">
              <w:rPr>
                <w:spacing w:val="2"/>
                <w:sz w:val="22"/>
                <w:szCs w:val="22"/>
              </w:rPr>
              <w:t>and/or</w:t>
            </w:r>
          </w:p>
          <w:p w:rsidR="00D659DD" w:rsidRPr="00925E6A" w:rsidRDefault="00C0756C" w:rsidP="00430F4A">
            <w:pPr>
              <w:numPr>
                <w:ilvl w:val="1"/>
                <w:numId w:val="33"/>
              </w:numPr>
              <w:tabs>
                <w:tab w:val="clear" w:pos="1440"/>
                <w:tab w:val="num" w:pos="1152"/>
              </w:tabs>
              <w:spacing w:before="60" w:after="60"/>
              <w:ind w:left="1152"/>
              <w:rPr>
                <w:spacing w:val="2"/>
                <w:sz w:val="22"/>
                <w:szCs w:val="22"/>
              </w:rPr>
            </w:pPr>
            <w:r w:rsidRPr="00925E6A">
              <w:rPr>
                <w:sz w:val="22"/>
                <w:szCs w:val="22"/>
              </w:rPr>
              <w:t>e</w:t>
            </w:r>
            <w:r w:rsidR="00D659DD" w:rsidRPr="00925E6A">
              <w:rPr>
                <w:sz w:val="22"/>
                <w:szCs w:val="22"/>
              </w:rPr>
              <w:t>xperience gained in providing training in a workplace context for those who perform t</w:t>
            </w:r>
            <w:r w:rsidR="00DB06FA">
              <w:rPr>
                <w:sz w:val="22"/>
                <w:szCs w:val="22"/>
              </w:rPr>
              <w:t>he role covered by the S</w:t>
            </w:r>
            <w:r w:rsidR="00D659DD" w:rsidRPr="00925E6A">
              <w:rPr>
                <w:sz w:val="22"/>
                <w:szCs w:val="22"/>
              </w:rPr>
              <w:t>VQ</w:t>
            </w:r>
            <w:r w:rsidRPr="00925E6A">
              <w:rPr>
                <w:sz w:val="22"/>
                <w:szCs w:val="22"/>
              </w:rPr>
              <w:t>.</w:t>
            </w:r>
          </w:p>
        </w:tc>
      </w:tr>
    </w:tbl>
    <w:p w:rsidR="00D659DD" w:rsidRDefault="00D659DD" w:rsidP="00D659DD">
      <w:pPr>
        <w:tabs>
          <w:tab w:val="left" w:pos="720"/>
        </w:tabs>
        <w:ind w:left="720" w:hanging="720"/>
        <w:rPr>
          <w:spacing w:val="2"/>
          <w:sz w:val="22"/>
        </w:rPr>
      </w:pPr>
    </w:p>
    <w:p w:rsidR="00353417" w:rsidRPr="00320C5D" w:rsidRDefault="00353417" w:rsidP="00353417">
      <w:pPr>
        <w:tabs>
          <w:tab w:val="num" w:pos="1512"/>
        </w:tabs>
        <w:spacing w:before="120" w:after="120"/>
        <w:rPr>
          <w:rFonts w:cs="Arial"/>
          <w:sz w:val="22"/>
          <w:szCs w:val="22"/>
        </w:rPr>
      </w:pPr>
      <w:r w:rsidRPr="008E5331">
        <w:rPr>
          <w:rFonts w:cs="Arial"/>
          <w:sz w:val="22"/>
          <w:szCs w:val="22"/>
        </w:rPr>
        <w:t xml:space="preserve">When </w:t>
      </w:r>
      <w:r w:rsidR="001A5223">
        <w:rPr>
          <w:rFonts w:cs="Arial"/>
          <w:sz w:val="22"/>
          <w:szCs w:val="22"/>
        </w:rPr>
        <w:t xml:space="preserve">ensuring centres are </w:t>
      </w:r>
      <w:r w:rsidRPr="008E5331">
        <w:rPr>
          <w:rFonts w:cs="Arial"/>
          <w:sz w:val="22"/>
          <w:szCs w:val="22"/>
        </w:rPr>
        <w:t>appoint</w:t>
      </w:r>
      <w:r w:rsidR="001A5223">
        <w:rPr>
          <w:rFonts w:cs="Arial"/>
          <w:sz w:val="22"/>
          <w:szCs w:val="22"/>
        </w:rPr>
        <w:t>ing</w:t>
      </w:r>
      <w:r w:rsidRPr="008E5331">
        <w:rPr>
          <w:rFonts w:cs="Arial"/>
          <w:sz w:val="22"/>
          <w:szCs w:val="22"/>
        </w:rPr>
        <w:t xml:space="preserve"> and retain</w:t>
      </w:r>
      <w:r w:rsidR="001A5223">
        <w:rPr>
          <w:rFonts w:cs="Arial"/>
          <w:sz w:val="22"/>
          <w:szCs w:val="22"/>
        </w:rPr>
        <w:t>ing</w:t>
      </w:r>
      <w:r w:rsidR="00DB06FA">
        <w:rPr>
          <w:rFonts w:cs="Arial"/>
          <w:sz w:val="22"/>
          <w:szCs w:val="22"/>
        </w:rPr>
        <w:t xml:space="preserve"> assessors for S</w:t>
      </w:r>
      <w:r w:rsidRPr="008E5331">
        <w:rPr>
          <w:rFonts w:cs="Arial"/>
          <w:sz w:val="22"/>
          <w:szCs w:val="22"/>
        </w:rPr>
        <w:t xml:space="preserve">VQs in </w:t>
      </w:r>
      <w:r w:rsidR="00D36DDC" w:rsidRPr="008E5331">
        <w:rPr>
          <w:rFonts w:cs="Arial"/>
          <w:sz w:val="22"/>
          <w:szCs w:val="22"/>
        </w:rPr>
        <w:t>Providing</w:t>
      </w:r>
      <w:r w:rsidRPr="008E5331">
        <w:rPr>
          <w:rFonts w:cs="Arial"/>
          <w:sz w:val="22"/>
          <w:szCs w:val="22"/>
        </w:rPr>
        <w:t xml:space="preserve"> Financial Ser</w:t>
      </w:r>
      <w:r w:rsidR="00DB06FA">
        <w:rPr>
          <w:rFonts w:cs="Arial"/>
          <w:sz w:val="22"/>
          <w:szCs w:val="22"/>
        </w:rPr>
        <w:t>vices, the Financial Skills Partnership</w:t>
      </w:r>
      <w:r w:rsidR="003F0066" w:rsidRPr="008E5331">
        <w:rPr>
          <w:rFonts w:cs="Arial"/>
          <w:sz w:val="22"/>
          <w:szCs w:val="22"/>
        </w:rPr>
        <w:t xml:space="preserve"> would expect </w:t>
      </w:r>
      <w:r w:rsidR="00BD6358">
        <w:rPr>
          <w:rFonts w:cs="Arial"/>
          <w:sz w:val="22"/>
          <w:szCs w:val="22"/>
        </w:rPr>
        <w:t>a</w:t>
      </w:r>
      <w:r w:rsidR="003F0066" w:rsidRPr="008E5331">
        <w:rPr>
          <w:rFonts w:cs="Arial"/>
          <w:sz w:val="22"/>
          <w:szCs w:val="22"/>
        </w:rPr>
        <w:t xml:space="preserve">warding </w:t>
      </w:r>
      <w:r w:rsidR="00BD6358">
        <w:rPr>
          <w:rFonts w:cs="Arial"/>
          <w:sz w:val="22"/>
          <w:szCs w:val="22"/>
        </w:rPr>
        <w:t>b</w:t>
      </w:r>
      <w:r w:rsidR="003F0066" w:rsidRPr="008E5331">
        <w:rPr>
          <w:rFonts w:cs="Arial"/>
          <w:sz w:val="22"/>
          <w:szCs w:val="22"/>
        </w:rPr>
        <w:t>odies</w:t>
      </w:r>
      <w:r w:rsidRPr="008E5331">
        <w:rPr>
          <w:rFonts w:cs="Arial"/>
          <w:sz w:val="22"/>
          <w:szCs w:val="22"/>
        </w:rPr>
        <w:t xml:space="preserve"> to look for individuals who can demonstrate that they</w:t>
      </w:r>
      <w:r w:rsidRPr="00320C5D">
        <w:rPr>
          <w:rFonts w:cs="Arial"/>
          <w:sz w:val="22"/>
          <w:szCs w:val="22"/>
        </w:rPr>
        <w:t>:</w:t>
      </w:r>
    </w:p>
    <w:p w:rsidR="00353417" w:rsidRPr="00320C5D" w:rsidRDefault="00353417" w:rsidP="00C3241C">
      <w:pPr>
        <w:numPr>
          <w:ilvl w:val="0"/>
          <w:numId w:val="16"/>
        </w:numPr>
        <w:tabs>
          <w:tab w:val="clear" w:pos="720"/>
          <w:tab w:val="num" w:pos="480"/>
        </w:tabs>
        <w:spacing w:after="60"/>
        <w:ind w:left="489" w:hanging="302"/>
        <w:rPr>
          <w:rFonts w:cs="Arial"/>
          <w:sz w:val="22"/>
          <w:szCs w:val="22"/>
        </w:rPr>
      </w:pPr>
      <w:r w:rsidRPr="00320C5D">
        <w:rPr>
          <w:rFonts w:cs="Arial"/>
          <w:sz w:val="22"/>
          <w:szCs w:val="22"/>
        </w:rPr>
        <w:t xml:space="preserve">have credible expertise in </w:t>
      </w:r>
      <w:r w:rsidR="00D36DDC">
        <w:rPr>
          <w:rFonts w:cs="Arial"/>
          <w:sz w:val="22"/>
          <w:szCs w:val="22"/>
        </w:rPr>
        <w:t>Providing</w:t>
      </w:r>
      <w:r>
        <w:rPr>
          <w:rFonts w:cs="Arial"/>
          <w:sz w:val="22"/>
          <w:szCs w:val="22"/>
        </w:rPr>
        <w:t xml:space="preserve"> Financial Services</w:t>
      </w:r>
      <w:r w:rsidRPr="00320C5D">
        <w:rPr>
          <w:rFonts w:cs="Arial"/>
          <w:sz w:val="22"/>
          <w:szCs w:val="22"/>
        </w:rPr>
        <w:t xml:space="preserve"> relevant to the level</w:t>
      </w:r>
      <w:r>
        <w:rPr>
          <w:rFonts w:cs="Arial"/>
          <w:sz w:val="22"/>
          <w:szCs w:val="22"/>
        </w:rPr>
        <w:t>/</w:t>
      </w:r>
      <w:r w:rsidRPr="00320C5D">
        <w:rPr>
          <w:rFonts w:cs="Arial"/>
          <w:sz w:val="22"/>
          <w:szCs w:val="22"/>
        </w:rPr>
        <w:t xml:space="preserve">s of the </w:t>
      </w:r>
      <w:r w:rsidR="00DB06FA">
        <w:rPr>
          <w:rFonts w:cs="Arial"/>
          <w:sz w:val="22"/>
          <w:szCs w:val="22"/>
        </w:rPr>
        <w:t>S</w:t>
      </w:r>
      <w:r>
        <w:rPr>
          <w:rFonts w:cs="Arial"/>
          <w:sz w:val="22"/>
          <w:szCs w:val="22"/>
        </w:rPr>
        <w:t>VQs</w:t>
      </w:r>
      <w:r w:rsidRPr="00320C5D">
        <w:rPr>
          <w:rFonts w:cs="Arial"/>
          <w:sz w:val="22"/>
          <w:szCs w:val="22"/>
        </w:rPr>
        <w:t xml:space="preserve"> they are seeking to assess;  </w:t>
      </w:r>
    </w:p>
    <w:p w:rsidR="00353417" w:rsidRPr="00320C5D" w:rsidRDefault="00353417" w:rsidP="00C3241C">
      <w:pPr>
        <w:numPr>
          <w:ilvl w:val="0"/>
          <w:numId w:val="16"/>
        </w:numPr>
        <w:tabs>
          <w:tab w:val="clear" w:pos="720"/>
          <w:tab w:val="num" w:leader="none" w:pos="480"/>
        </w:tabs>
        <w:spacing w:after="60"/>
        <w:ind w:left="489" w:hanging="302"/>
        <w:rPr>
          <w:rFonts w:cs="Arial"/>
          <w:sz w:val="22"/>
          <w:szCs w:val="22"/>
        </w:rPr>
      </w:pPr>
      <w:r>
        <w:rPr>
          <w:rFonts w:cs="Arial"/>
          <w:sz w:val="22"/>
          <w:szCs w:val="22"/>
        </w:rPr>
        <w:t xml:space="preserve">have </w:t>
      </w:r>
      <w:r w:rsidRPr="00320C5D">
        <w:rPr>
          <w:rFonts w:cs="Arial"/>
          <w:sz w:val="22"/>
          <w:szCs w:val="22"/>
        </w:rPr>
        <w:t>kep</w:t>
      </w:r>
      <w:r>
        <w:rPr>
          <w:rFonts w:cs="Arial"/>
          <w:sz w:val="22"/>
          <w:szCs w:val="22"/>
        </w:rPr>
        <w:t>t, and will continue to keep,</w:t>
      </w:r>
      <w:r w:rsidRPr="00320C5D">
        <w:rPr>
          <w:rFonts w:cs="Arial"/>
          <w:sz w:val="22"/>
          <w:szCs w:val="22"/>
        </w:rPr>
        <w:t xml:space="preserve"> themselves up-to-date with developments </w:t>
      </w:r>
      <w:r>
        <w:rPr>
          <w:rFonts w:cs="Arial"/>
          <w:sz w:val="22"/>
          <w:szCs w:val="22"/>
        </w:rPr>
        <w:t xml:space="preserve">and practice in the </w:t>
      </w:r>
      <w:r w:rsidR="00D36DDC">
        <w:rPr>
          <w:rFonts w:cs="Arial"/>
          <w:sz w:val="22"/>
          <w:szCs w:val="22"/>
        </w:rPr>
        <w:t>Providing</w:t>
      </w:r>
      <w:r>
        <w:rPr>
          <w:rFonts w:cs="Arial"/>
          <w:sz w:val="22"/>
          <w:szCs w:val="22"/>
        </w:rPr>
        <w:t xml:space="preserve"> Financial Services</w:t>
      </w:r>
      <w:r w:rsidRPr="00320C5D">
        <w:rPr>
          <w:rFonts w:cs="Arial"/>
          <w:sz w:val="22"/>
          <w:szCs w:val="22"/>
        </w:rPr>
        <w:t xml:space="preserve"> </w:t>
      </w:r>
      <w:r>
        <w:rPr>
          <w:rFonts w:cs="Arial"/>
          <w:sz w:val="22"/>
          <w:szCs w:val="22"/>
        </w:rPr>
        <w:t>industry</w:t>
      </w:r>
      <w:r w:rsidRPr="00320C5D">
        <w:rPr>
          <w:rFonts w:cs="Arial"/>
          <w:sz w:val="22"/>
          <w:szCs w:val="22"/>
        </w:rPr>
        <w:t>;</w:t>
      </w:r>
    </w:p>
    <w:p w:rsidR="00353417" w:rsidRPr="00320C5D" w:rsidRDefault="00353417" w:rsidP="00C3241C">
      <w:pPr>
        <w:numPr>
          <w:ilvl w:val="0"/>
          <w:numId w:val="16"/>
        </w:numPr>
        <w:tabs>
          <w:tab w:val="clear" w:pos="720"/>
          <w:tab w:val="num" w:pos="480"/>
        </w:tabs>
        <w:spacing w:after="60"/>
        <w:ind w:left="489" w:hanging="302"/>
        <w:rPr>
          <w:rFonts w:cs="Arial"/>
          <w:sz w:val="22"/>
          <w:szCs w:val="22"/>
        </w:rPr>
      </w:pPr>
      <w:r w:rsidRPr="00320C5D">
        <w:rPr>
          <w:rFonts w:cs="Arial"/>
          <w:sz w:val="22"/>
          <w:szCs w:val="22"/>
        </w:rPr>
        <w:t xml:space="preserve">have a thorough understanding of the NOS for </w:t>
      </w:r>
      <w:r w:rsidR="00D36DDC">
        <w:rPr>
          <w:rFonts w:cs="Arial"/>
          <w:sz w:val="22"/>
          <w:szCs w:val="22"/>
        </w:rPr>
        <w:t>Providing</w:t>
      </w:r>
      <w:r>
        <w:rPr>
          <w:rFonts w:cs="Arial"/>
          <w:sz w:val="22"/>
          <w:szCs w:val="22"/>
        </w:rPr>
        <w:t xml:space="preserve"> Financial Services at the level/s</w:t>
      </w:r>
      <w:r w:rsidRPr="00320C5D">
        <w:rPr>
          <w:rFonts w:cs="Arial"/>
          <w:sz w:val="22"/>
          <w:szCs w:val="22"/>
        </w:rPr>
        <w:t xml:space="preserve"> of the </w:t>
      </w:r>
      <w:r w:rsidR="00DB06FA">
        <w:rPr>
          <w:rFonts w:cs="Arial"/>
          <w:sz w:val="22"/>
          <w:szCs w:val="22"/>
        </w:rPr>
        <w:t>S</w:t>
      </w:r>
      <w:r>
        <w:rPr>
          <w:rFonts w:cs="Arial"/>
          <w:sz w:val="22"/>
          <w:szCs w:val="22"/>
        </w:rPr>
        <w:t>VQs</w:t>
      </w:r>
      <w:r w:rsidRPr="00320C5D">
        <w:rPr>
          <w:rFonts w:cs="Arial"/>
          <w:sz w:val="22"/>
          <w:szCs w:val="22"/>
        </w:rPr>
        <w:t xml:space="preserve"> they are seeking to assess.</w:t>
      </w:r>
    </w:p>
    <w:p w:rsidR="00353417" w:rsidRPr="007110C6" w:rsidRDefault="00353417" w:rsidP="00353417">
      <w:pPr>
        <w:rPr>
          <w:rFonts w:cs="Arial"/>
          <w:sz w:val="22"/>
          <w:szCs w:val="22"/>
        </w:rPr>
      </w:pPr>
    </w:p>
    <w:p w:rsidR="00353417" w:rsidRPr="007110C6" w:rsidRDefault="00353417" w:rsidP="00353417">
      <w:pPr>
        <w:tabs>
          <w:tab w:val="num" w:pos="1512"/>
        </w:tabs>
        <w:spacing w:after="120"/>
        <w:rPr>
          <w:rFonts w:cs="Arial"/>
          <w:sz w:val="22"/>
          <w:szCs w:val="22"/>
        </w:rPr>
      </w:pPr>
      <w:r>
        <w:rPr>
          <w:rFonts w:cs="Arial"/>
          <w:sz w:val="22"/>
          <w:szCs w:val="22"/>
        </w:rPr>
        <w:t>As part of the process, it is suggested that</w:t>
      </w:r>
      <w:r w:rsidRPr="007110C6">
        <w:rPr>
          <w:rFonts w:cs="Arial"/>
          <w:sz w:val="22"/>
          <w:szCs w:val="22"/>
        </w:rPr>
        <w:t xml:space="preserve"> centres should consider:</w:t>
      </w:r>
    </w:p>
    <w:p w:rsidR="00353417" w:rsidRPr="007110C6" w:rsidRDefault="00353417" w:rsidP="00C3241C">
      <w:pPr>
        <w:numPr>
          <w:ilvl w:val="0"/>
          <w:numId w:val="17"/>
        </w:numPr>
        <w:tabs>
          <w:tab w:val="clear" w:pos="720"/>
          <w:tab w:val="num" w:pos="480"/>
        </w:tabs>
        <w:spacing w:after="60"/>
        <w:ind w:left="489" w:hanging="302"/>
        <w:rPr>
          <w:rFonts w:cs="Arial"/>
          <w:sz w:val="22"/>
          <w:szCs w:val="22"/>
        </w:rPr>
      </w:pPr>
      <w:r w:rsidRPr="007110C6">
        <w:rPr>
          <w:rFonts w:cs="Arial"/>
          <w:sz w:val="22"/>
          <w:szCs w:val="22"/>
        </w:rPr>
        <w:t xml:space="preserve">what </w:t>
      </w:r>
      <w:r>
        <w:rPr>
          <w:rFonts w:cs="Arial"/>
          <w:sz w:val="22"/>
          <w:szCs w:val="22"/>
        </w:rPr>
        <w:t xml:space="preserve">previous </w:t>
      </w:r>
      <w:r w:rsidRPr="007110C6">
        <w:rPr>
          <w:rFonts w:cs="Arial"/>
          <w:sz w:val="22"/>
          <w:szCs w:val="22"/>
        </w:rPr>
        <w:t xml:space="preserve">posts they have held </w:t>
      </w:r>
      <w:r>
        <w:rPr>
          <w:rFonts w:cs="Arial"/>
          <w:sz w:val="22"/>
          <w:szCs w:val="22"/>
        </w:rPr>
        <w:t xml:space="preserve">and determine whether these </w:t>
      </w:r>
      <w:r w:rsidR="000662EC">
        <w:rPr>
          <w:rFonts w:cs="Arial"/>
          <w:sz w:val="22"/>
          <w:szCs w:val="22"/>
        </w:rPr>
        <w:t>are relevant</w:t>
      </w:r>
      <w:r>
        <w:rPr>
          <w:rFonts w:cs="Arial"/>
          <w:sz w:val="22"/>
          <w:szCs w:val="22"/>
        </w:rPr>
        <w:t xml:space="preserve"> in </w:t>
      </w:r>
      <w:r w:rsidRPr="007110C6">
        <w:rPr>
          <w:rFonts w:cs="Arial"/>
          <w:sz w:val="22"/>
          <w:szCs w:val="22"/>
        </w:rPr>
        <w:t>providing expertise in the area of Financial Services assessment</w:t>
      </w:r>
      <w:r>
        <w:rPr>
          <w:rFonts w:cs="Arial"/>
          <w:sz w:val="22"/>
          <w:szCs w:val="22"/>
        </w:rPr>
        <w:t>;</w:t>
      </w:r>
    </w:p>
    <w:p w:rsidR="00353417" w:rsidRPr="007110C6" w:rsidRDefault="00353417" w:rsidP="00C3241C">
      <w:pPr>
        <w:numPr>
          <w:ilvl w:val="0"/>
          <w:numId w:val="17"/>
        </w:numPr>
        <w:tabs>
          <w:tab w:val="clear" w:pos="720"/>
          <w:tab w:val="num" w:pos="480"/>
        </w:tabs>
        <w:spacing w:after="60"/>
        <w:ind w:left="489" w:hanging="302"/>
        <w:rPr>
          <w:rFonts w:cs="Arial"/>
          <w:sz w:val="22"/>
          <w:szCs w:val="22"/>
        </w:rPr>
      </w:pPr>
      <w:r w:rsidRPr="007110C6">
        <w:rPr>
          <w:rFonts w:cs="Arial"/>
          <w:sz w:val="22"/>
          <w:szCs w:val="22"/>
        </w:rPr>
        <w:t>the relevance and currency of qualifications held</w:t>
      </w:r>
      <w:r>
        <w:rPr>
          <w:rFonts w:cs="Arial"/>
          <w:sz w:val="22"/>
          <w:szCs w:val="22"/>
        </w:rPr>
        <w:t>;</w:t>
      </w:r>
    </w:p>
    <w:p w:rsidR="00353417" w:rsidRPr="007110C6" w:rsidRDefault="00353417" w:rsidP="00C3241C">
      <w:pPr>
        <w:numPr>
          <w:ilvl w:val="0"/>
          <w:numId w:val="17"/>
        </w:numPr>
        <w:tabs>
          <w:tab w:val="clear" w:pos="720"/>
          <w:tab w:val="num" w:pos="480"/>
        </w:tabs>
        <w:spacing w:after="60"/>
        <w:ind w:left="489" w:hanging="302"/>
        <w:rPr>
          <w:rFonts w:cs="Arial"/>
          <w:sz w:val="22"/>
          <w:szCs w:val="22"/>
        </w:rPr>
      </w:pPr>
      <w:r w:rsidRPr="007110C6">
        <w:rPr>
          <w:rFonts w:cs="Arial"/>
          <w:sz w:val="22"/>
          <w:szCs w:val="22"/>
        </w:rPr>
        <w:t xml:space="preserve">the level at which these </w:t>
      </w:r>
      <w:r>
        <w:rPr>
          <w:rFonts w:cs="Arial"/>
          <w:sz w:val="22"/>
          <w:szCs w:val="22"/>
        </w:rPr>
        <w:t>posts have been held;</w:t>
      </w:r>
    </w:p>
    <w:p w:rsidR="00353417" w:rsidRPr="00991FA8" w:rsidRDefault="00353417" w:rsidP="00C3241C">
      <w:pPr>
        <w:numPr>
          <w:ilvl w:val="0"/>
          <w:numId w:val="17"/>
        </w:numPr>
        <w:tabs>
          <w:tab w:val="clear" w:pos="720"/>
          <w:tab w:val="num" w:pos="480"/>
        </w:tabs>
        <w:spacing w:after="60"/>
        <w:ind w:left="489" w:hanging="302"/>
        <w:rPr>
          <w:rFonts w:cs="Arial"/>
          <w:sz w:val="22"/>
          <w:szCs w:val="22"/>
        </w:rPr>
      </w:pPr>
      <w:r w:rsidRPr="007110C6">
        <w:rPr>
          <w:rFonts w:cs="Arial"/>
          <w:sz w:val="22"/>
          <w:szCs w:val="22"/>
        </w:rPr>
        <w:t xml:space="preserve">how familiar they are with the NOS for </w:t>
      </w:r>
      <w:r w:rsidR="00D36DDC">
        <w:rPr>
          <w:rFonts w:cs="Arial"/>
          <w:sz w:val="22"/>
          <w:szCs w:val="22"/>
        </w:rPr>
        <w:t>Providing</w:t>
      </w:r>
      <w:r>
        <w:rPr>
          <w:rFonts w:cs="Arial"/>
          <w:sz w:val="22"/>
          <w:szCs w:val="22"/>
        </w:rPr>
        <w:t xml:space="preserve"> Financial Services</w:t>
      </w:r>
      <w:r w:rsidR="00DB06FA">
        <w:rPr>
          <w:rFonts w:cs="Arial"/>
          <w:sz w:val="22"/>
          <w:szCs w:val="22"/>
        </w:rPr>
        <w:t xml:space="preserve"> at the level of the S</w:t>
      </w:r>
      <w:r w:rsidRPr="007110C6">
        <w:rPr>
          <w:rFonts w:cs="Arial"/>
          <w:sz w:val="22"/>
          <w:szCs w:val="22"/>
        </w:rPr>
        <w:t>VQs they are seeking to assess</w:t>
      </w:r>
      <w:r>
        <w:rPr>
          <w:rFonts w:cs="Arial"/>
          <w:sz w:val="22"/>
          <w:szCs w:val="22"/>
        </w:rPr>
        <w:t>.</w:t>
      </w:r>
    </w:p>
    <w:p w:rsidR="00353417" w:rsidRDefault="00353417" w:rsidP="00925E6A">
      <w:pPr>
        <w:rPr>
          <w:spacing w:val="2"/>
          <w:sz w:val="22"/>
        </w:rPr>
      </w:pPr>
    </w:p>
    <w:p w:rsidR="00D659DD" w:rsidRPr="00925E6A" w:rsidRDefault="00D659DD" w:rsidP="00D659DD">
      <w:pPr>
        <w:spacing w:after="144"/>
        <w:rPr>
          <w:spacing w:val="2"/>
          <w:sz w:val="22"/>
          <w:u w:val="single"/>
        </w:rPr>
      </w:pPr>
      <w:r w:rsidRPr="00925E6A">
        <w:rPr>
          <w:spacing w:val="2"/>
          <w:sz w:val="22"/>
          <w:u w:val="single"/>
        </w:rPr>
        <w:t>5.3</w:t>
      </w:r>
      <w:r w:rsidRPr="00925E6A">
        <w:rPr>
          <w:spacing w:val="2"/>
          <w:sz w:val="22"/>
          <w:u w:val="single"/>
        </w:rPr>
        <w:tab/>
        <w:t>Continued Personal and Professional Development</w:t>
      </w:r>
    </w:p>
    <w:p w:rsidR="00D659DD" w:rsidRDefault="00D659DD" w:rsidP="00D659DD">
      <w:pPr>
        <w:pStyle w:val="BodyTextIndent2"/>
        <w:rPr>
          <w:spacing w:val="2"/>
        </w:rPr>
      </w:pPr>
      <w:r>
        <w:rPr>
          <w:spacing w:val="2"/>
        </w:rPr>
        <w:t>It is important that verifiers and assessors, and also designated staff under the Employer Equivalent Training Model, continue their own development to h</w:t>
      </w:r>
      <w:r w:rsidR="00DB06FA">
        <w:rPr>
          <w:spacing w:val="2"/>
        </w:rPr>
        <w:t>elp them in their respective S</w:t>
      </w:r>
      <w:r>
        <w:rPr>
          <w:spacing w:val="2"/>
        </w:rPr>
        <w:t>VQ roles.</w:t>
      </w:r>
      <w:r w:rsidR="00AC16E3">
        <w:rPr>
          <w:spacing w:val="2"/>
        </w:rPr>
        <w:t xml:space="preserve"> </w:t>
      </w:r>
      <w:r>
        <w:rPr>
          <w:spacing w:val="2"/>
        </w:rPr>
        <w:t xml:space="preserve"> It is expected that each approved centre will provide development programmes for its assessors and internal verifiers to support them in maintaining their technical or occupational expertise.  </w:t>
      </w:r>
    </w:p>
    <w:p w:rsidR="00D659DD" w:rsidRPr="00D659DD" w:rsidRDefault="00D659DD" w:rsidP="00D659DD"/>
    <w:sectPr w:rsidR="00D659DD" w:rsidRPr="00D659DD" w:rsidSect="001931C3">
      <w:headerReference w:type="even" r:id="rId11"/>
      <w:footerReference w:type="even" r:id="rId12"/>
      <w:footerReference w:type="default" r:id="rId13"/>
      <w:footerReference w:type="first" r:id="rId14"/>
      <w:pgSz w:w="12240" w:h="15840"/>
      <w:pgMar w:top="1440" w:right="1440" w:bottom="1440" w:left="144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EC5" w:rsidRDefault="00BE7EC5">
      <w:r>
        <w:separator/>
      </w:r>
    </w:p>
  </w:endnote>
  <w:endnote w:type="continuationSeparator" w:id="0">
    <w:p w:rsidR="00BE7EC5" w:rsidRDefault="00BE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B0B" w:rsidRDefault="00302B0B" w:rsidP="006C26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2B0B" w:rsidRDefault="00302B0B" w:rsidP="00302B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B0B" w:rsidRDefault="00302B0B" w:rsidP="006C26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22F9">
      <w:rPr>
        <w:rStyle w:val="PageNumber"/>
      </w:rPr>
      <w:t>2</w:t>
    </w:r>
    <w:r>
      <w:rPr>
        <w:rStyle w:val="PageNumber"/>
      </w:rPr>
      <w:fldChar w:fldCharType="end"/>
    </w:r>
  </w:p>
  <w:p w:rsidR="005741ED" w:rsidRDefault="005741ED" w:rsidP="005741ED">
    <w:pPr>
      <w:pStyle w:val="Footer"/>
    </w:pPr>
    <w:r>
      <w:t>Assessment Strategy approved at ACG 6 June 2018</w:t>
    </w:r>
  </w:p>
  <w:p w:rsidR="00B53920" w:rsidRDefault="00B53920" w:rsidP="00677988">
    <w:pPr>
      <w:pStyle w:val="Head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1ED" w:rsidRDefault="005741ED">
    <w:pPr>
      <w:pStyle w:val="Footer"/>
    </w:pPr>
    <w:r>
      <w:tab/>
      <w:t>Assessment Strategy approved at ACG 6 June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EC5" w:rsidRDefault="00BE7EC5">
      <w:r>
        <w:separator/>
      </w:r>
    </w:p>
  </w:footnote>
  <w:footnote w:type="continuationSeparator" w:id="0">
    <w:p w:rsidR="00BE7EC5" w:rsidRDefault="00BE7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920" w:rsidRDefault="00B539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33A67"/>
    <w:multiLevelType w:val="multilevel"/>
    <w:tmpl w:val="7A523910"/>
    <w:lvl w:ilvl="0">
      <w:start w:val="1"/>
      <w:numFmt w:val="bullet"/>
      <w:lvlText w:val=""/>
      <w:lvlJc w:val="left"/>
      <w:pPr>
        <w:tabs>
          <w:tab w:val="num" w:pos="1008"/>
        </w:tabs>
        <w:ind w:left="1008" w:hanging="360"/>
      </w:pPr>
      <w:rPr>
        <w:rFonts w:ascii="Symbol" w:hAnsi="Symbol" w:hint="default"/>
        <w:sz w:val="22"/>
      </w:rPr>
    </w:lvl>
    <w:lvl w:ilvl="1" w:tentative="1">
      <w:start w:val="1"/>
      <w:numFmt w:val="bullet"/>
      <w:lvlText w:val="o"/>
      <w:lvlJc w:val="left"/>
      <w:pPr>
        <w:tabs>
          <w:tab w:val="num" w:pos="1728"/>
        </w:tabs>
        <w:ind w:left="1728" w:hanging="360"/>
      </w:pPr>
      <w:rPr>
        <w:rFonts w:ascii="Courier New" w:hAnsi="Courier New" w:hint="default"/>
      </w:rPr>
    </w:lvl>
    <w:lvl w:ilvl="2" w:tentative="1">
      <w:start w:val="1"/>
      <w:numFmt w:val="bullet"/>
      <w:lvlText w:val=""/>
      <w:lvlJc w:val="left"/>
      <w:pPr>
        <w:tabs>
          <w:tab w:val="num" w:pos="2448"/>
        </w:tabs>
        <w:ind w:left="2448" w:hanging="360"/>
      </w:pPr>
      <w:rPr>
        <w:rFonts w:ascii="Wingdings" w:hAnsi="Wingdings" w:hint="default"/>
      </w:rPr>
    </w:lvl>
    <w:lvl w:ilvl="3" w:tentative="1">
      <w:start w:val="1"/>
      <w:numFmt w:val="bullet"/>
      <w:lvlText w:val=""/>
      <w:lvlJc w:val="left"/>
      <w:pPr>
        <w:tabs>
          <w:tab w:val="num" w:pos="3168"/>
        </w:tabs>
        <w:ind w:left="3168" w:hanging="360"/>
      </w:pPr>
      <w:rPr>
        <w:rFonts w:ascii="Symbol" w:hAnsi="Symbol" w:hint="default"/>
      </w:rPr>
    </w:lvl>
    <w:lvl w:ilvl="4" w:tentative="1">
      <w:start w:val="1"/>
      <w:numFmt w:val="bullet"/>
      <w:lvlText w:val="o"/>
      <w:lvlJc w:val="left"/>
      <w:pPr>
        <w:tabs>
          <w:tab w:val="num" w:pos="3888"/>
        </w:tabs>
        <w:ind w:left="3888" w:hanging="360"/>
      </w:pPr>
      <w:rPr>
        <w:rFonts w:ascii="Courier New" w:hAnsi="Courier New" w:hint="default"/>
      </w:rPr>
    </w:lvl>
    <w:lvl w:ilvl="5" w:tentative="1">
      <w:start w:val="1"/>
      <w:numFmt w:val="bullet"/>
      <w:lvlText w:val=""/>
      <w:lvlJc w:val="left"/>
      <w:pPr>
        <w:tabs>
          <w:tab w:val="num" w:pos="4608"/>
        </w:tabs>
        <w:ind w:left="4608" w:hanging="360"/>
      </w:pPr>
      <w:rPr>
        <w:rFonts w:ascii="Wingdings" w:hAnsi="Wingdings" w:hint="default"/>
      </w:rPr>
    </w:lvl>
    <w:lvl w:ilvl="6" w:tentative="1">
      <w:start w:val="1"/>
      <w:numFmt w:val="bullet"/>
      <w:lvlText w:val=""/>
      <w:lvlJc w:val="left"/>
      <w:pPr>
        <w:tabs>
          <w:tab w:val="num" w:pos="5328"/>
        </w:tabs>
        <w:ind w:left="5328" w:hanging="360"/>
      </w:pPr>
      <w:rPr>
        <w:rFonts w:ascii="Symbol" w:hAnsi="Symbol" w:hint="default"/>
      </w:rPr>
    </w:lvl>
    <w:lvl w:ilvl="7" w:tentative="1">
      <w:start w:val="1"/>
      <w:numFmt w:val="bullet"/>
      <w:lvlText w:val="o"/>
      <w:lvlJc w:val="left"/>
      <w:pPr>
        <w:tabs>
          <w:tab w:val="num" w:pos="6048"/>
        </w:tabs>
        <w:ind w:left="6048" w:hanging="360"/>
      </w:pPr>
      <w:rPr>
        <w:rFonts w:ascii="Courier New" w:hAnsi="Courier New" w:hint="default"/>
      </w:rPr>
    </w:lvl>
    <w:lvl w:ilvl="8" w:tentative="1">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0C972654"/>
    <w:multiLevelType w:val="multilevel"/>
    <w:tmpl w:val="31E8FEA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76A7F"/>
    <w:multiLevelType w:val="multilevel"/>
    <w:tmpl w:val="5A423056"/>
    <w:lvl w:ilvl="0">
      <w:start w:val="1"/>
      <w:numFmt w:val="bullet"/>
      <w:lvlText w:val=""/>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18E406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7473AA"/>
    <w:multiLevelType w:val="multilevel"/>
    <w:tmpl w:val="44E4583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8529D"/>
    <w:multiLevelType w:val="singleLevel"/>
    <w:tmpl w:val="496E9712"/>
    <w:lvl w:ilvl="0">
      <w:start w:val="1"/>
      <w:numFmt w:val="bullet"/>
      <w:pStyle w:val="g-text1"/>
      <w:lvlText w:val=""/>
      <w:lvlJc w:val="left"/>
      <w:pPr>
        <w:tabs>
          <w:tab w:val="num" w:pos="360"/>
        </w:tabs>
        <w:ind w:left="360" w:hanging="360"/>
      </w:pPr>
      <w:rPr>
        <w:rFonts w:ascii="Symbol" w:hAnsi="Symbol" w:hint="default"/>
      </w:rPr>
    </w:lvl>
  </w:abstractNum>
  <w:abstractNum w:abstractNumId="6" w15:restartNumberingAfterBreak="0">
    <w:nsid w:val="1FBD4626"/>
    <w:multiLevelType w:val="multilevel"/>
    <w:tmpl w:val="ADBC724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3D5D8D"/>
    <w:multiLevelType w:val="hybridMultilevel"/>
    <w:tmpl w:val="D360B9D6"/>
    <w:lvl w:ilvl="0" w:tplc="147E7CB4">
      <w:start w:val="1"/>
      <w:numFmt w:val="decimal"/>
      <w:lvlText w:val="IC%1"/>
      <w:lvlJc w:val="left"/>
      <w:pPr>
        <w:tabs>
          <w:tab w:val="num" w:pos="720"/>
        </w:tabs>
        <w:ind w:left="720" w:hanging="360"/>
      </w:pPr>
      <w:rPr>
        <w:rFonts w:ascii="Arial" w:hAnsi="Arial"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C7496"/>
    <w:multiLevelType w:val="hybridMultilevel"/>
    <w:tmpl w:val="A58C8A26"/>
    <w:lvl w:ilvl="0" w:tplc="4EDA7F46">
      <w:start w:val="1"/>
      <w:numFmt w:val="decimal"/>
      <w:lvlText w:val="%1."/>
      <w:lvlJc w:val="left"/>
      <w:pPr>
        <w:ind w:left="72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6442E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7557E7"/>
    <w:multiLevelType w:val="multilevel"/>
    <w:tmpl w:val="DA0C934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9C711A"/>
    <w:multiLevelType w:val="hybridMultilevel"/>
    <w:tmpl w:val="7C6EF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A51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AA506D6"/>
    <w:multiLevelType w:val="hybridMultilevel"/>
    <w:tmpl w:val="C36CAE76"/>
    <w:lvl w:ilvl="0" w:tplc="E716E85E">
      <w:start w:val="1"/>
      <w:numFmt w:val="decimal"/>
      <w:lvlText w:val="LC%1"/>
      <w:lvlJc w:val="left"/>
      <w:pPr>
        <w:tabs>
          <w:tab w:val="num" w:pos="720"/>
        </w:tabs>
        <w:ind w:left="720" w:hanging="360"/>
      </w:pPr>
      <w:rPr>
        <w:rFonts w:ascii="Arial" w:hAnsi="Aria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FC1C9C"/>
    <w:multiLevelType w:val="multilevel"/>
    <w:tmpl w:val="A8CAE9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785DB7"/>
    <w:multiLevelType w:val="multilevel"/>
    <w:tmpl w:val="DA0C934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1E0846"/>
    <w:multiLevelType w:val="multilevel"/>
    <w:tmpl w:val="4CEE983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44E29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185852"/>
    <w:multiLevelType w:val="singleLevel"/>
    <w:tmpl w:val="FF809012"/>
    <w:lvl w:ilvl="0">
      <w:start w:val="1"/>
      <w:numFmt w:val="bullet"/>
      <w:pStyle w:val="bullets"/>
      <w:lvlText w:val=""/>
      <w:lvlJc w:val="left"/>
      <w:pPr>
        <w:tabs>
          <w:tab w:val="num" w:pos="360"/>
        </w:tabs>
        <w:ind w:left="360" w:hanging="360"/>
      </w:pPr>
      <w:rPr>
        <w:rFonts w:ascii="Symbol" w:hAnsi="Symbol" w:hint="default"/>
      </w:rPr>
    </w:lvl>
  </w:abstractNum>
  <w:abstractNum w:abstractNumId="19" w15:restartNumberingAfterBreak="0">
    <w:nsid w:val="4D101B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5C4E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FEE1850"/>
    <w:multiLevelType w:val="multilevel"/>
    <w:tmpl w:val="A8CC2ABE"/>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51B95B9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54935FC8"/>
    <w:multiLevelType w:val="singleLevel"/>
    <w:tmpl w:val="A26ED0F8"/>
    <w:lvl w:ilvl="0">
      <w:start w:val="4"/>
      <w:numFmt w:val="decimal"/>
      <w:lvlText w:val="%1."/>
      <w:lvlJc w:val="left"/>
      <w:pPr>
        <w:tabs>
          <w:tab w:val="num" w:pos="720"/>
        </w:tabs>
        <w:ind w:left="720" w:hanging="720"/>
      </w:pPr>
      <w:rPr>
        <w:rFonts w:hint="default"/>
      </w:rPr>
    </w:lvl>
  </w:abstractNum>
  <w:abstractNum w:abstractNumId="24" w15:restartNumberingAfterBreak="0">
    <w:nsid w:val="55986F1A"/>
    <w:multiLevelType w:val="hybridMultilevel"/>
    <w:tmpl w:val="F97EF578"/>
    <w:lvl w:ilvl="0" w:tplc="4F388DCC">
      <w:start w:val="1"/>
      <w:numFmt w:val="none"/>
      <w:lvlText w:val="IC5"/>
      <w:lvlJc w:val="left"/>
      <w:pPr>
        <w:tabs>
          <w:tab w:val="num" w:pos="720"/>
        </w:tabs>
        <w:ind w:left="720" w:hanging="360"/>
      </w:pPr>
      <w:rPr>
        <w:rFonts w:ascii="Arial" w:hAnsi="Arial"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5AA1F86"/>
    <w:multiLevelType w:val="multilevel"/>
    <w:tmpl w:val="41AA81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E656B6"/>
    <w:multiLevelType w:val="hybridMultilevel"/>
    <w:tmpl w:val="725C95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F764AD"/>
    <w:multiLevelType w:val="hybridMultilevel"/>
    <w:tmpl w:val="F140E2D6"/>
    <w:lvl w:ilvl="0" w:tplc="A3FA2F36">
      <w:start w:val="1"/>
      <w:numFmt w:val="decimal"/>
      <w:lvlText w:val="CC%1"/>
      <w:lvlJc w:val="left"/>
      <w:pPr>
        <w:tabs>
          <w:tab w:val="num" w:pos="360"/>
        </w:tabs>
        <w:ind w:left="360" w:hanging="360"/>
      </w:pPr>
      <w:rPr>
        <w:rFonts w:ascii="Arial" w:hAnsi="Arial" w:hint="default"/>
        <w:sz w:val="16"/>
        <w:szCs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83050F2"/>
    <w:multiLevelType w:val="hybridMultilevel"/>
    <w:tmpl w:val="172C439A"/>
    <w:lvl w:ilvl="0" w:tplc="FF2CFFE0">
      <w:start w:val="1"/>
      <w:numFmt w:val="decimal"/>
      <w:lvlText w:val="%1."/>
      <w:lvlJc w:val="left"/>
      <w:pPr>
        <w:tabs>
          <w:tab w:val="num" w:pos="840"/>
        </w:tabs>
        <w:ind w:left="840" w:hanging="360"/>
      </w:pPr>
      <w:rPr>
        <w:rFonts w:ascii="Arial" w:hAnsi="Arial" w:hint="default"/>
        <w:b w:val="0"/>
        <w:i w:val="0"/>
        <w:sz w:val="22"/>
        <w:szCs w:val="22"/>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9" w15:restartNumberingAfterBreak="0">
    <w:nsid w:val="68D46321"/>
    <w:multiLevelType w:val="hybridMultilevel"/>
    <w:tmpl w:val="20E0A8C2"/>
    <w:lvl w:ilvl="0" w:tplc="5D6A32C4">
      <w:start w:val="1"/>
      <w:numFmt w:val="decimal"/>
      <w:lvlText w:val="UW%1"/>
      <w:lvlJc w:val="left"/>
      <w:pPr>
        <w:tabs>
          <w:tab w:val="num" w:pos="360"/>
        </w:tabs>
        <w:ind w:left="360" w:hanging="360"/>
      </w:pPr>
      <w:rPr>
        <w:rFonts w:ascii="Arial" w:hAnsi="Arial" w:hint="default"/>
        <w:sz w:val="16"/>
        <w:szCs w:val="16"/>
      </w:rPr>
    </w:lvl>
    <w:lvl w:ilvl="1" w:tplc="FFFFFFFF">
      <w:start w:val="1"/>
      <w:numFmt w:val="decimal"/>
      <w:lvlText w:val="IA%2"/>
      <w:lvlJc w:val="left"/>
      <w:pPr>
        <w:tabs>
          <w:tab w:val="num" w:pos="720"/>
        </w:tabs>
        <w:ind w:left="720" w:hanging="360"/>
      </w:pPr>
      <w:rPr>
        <w:rFonts w:ascii="Arial" w:hAnsi="Arial" w:hint="default"/>
        <w:sz w:val="16"/>
        <w:szCs w:val="1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D615EAF"/>
    <w:multiLevelType w:val="hybridMultilevel"/>
    <w:tmpl w:val="5A42305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1" w15:restartNumberingAfterBreak="0">
    <w:nsid w:val="6EB27CB0"/>
    <w:multiLevelType w:val="multilevel"/>
    <w:tmpl w:val="41AA81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67AE6"/>
    <w:multiLevelType w:val="hybridMultilevel"/>
    <w:tmpl w:val="56149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F311D5"/>
    <w:multiLevelType w:val="multilevel"/>
    <w:tmpl w:val="A8CAE9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525ECD"/>
    <w:multiLevelType w:val="multilevel"/>
    <w:tmpl w:val="41AA81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D4345"/>
    <w:multiLevelType w:val="hybridMultilevel"/>
    <w:tmpl w:val="FE42C87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CF8187C"/>
    <w:multiLevelType w:val="hybridMultilevel"/>
    <w:tmpl w:val="D7C2E8F0"/>
    <w:lvl w:ilvl="0" w:tplc="2EFCD0C0">
      <w:start w:val="1"/>
      <w:numFmt w:val="decimal"/>
      <w:lvlText w:val="CC%1"/>
      <w:lvlJc w:val="left"/>
      <w:pPr>
        <w:tabs>
          <w:tab w:val="num" w:pos="720"/>
        </w:tabs>
        <w:ind w:left="720" w:hanging="360"/>
      </w:pPr>
      <w:rPr>
        <w:rFonts w:ascii="Arial" w:hAnsi="Arial"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1"/>
  </w:num>
  <w:num w:numId="3">
    <w:abstractNumId w:val="14"/>
  </w:num>
  <w:num w:numId="4">
    <w:abstractNumId w:val="31"/>
  </w:num>
  <w:num w:numId="5">
    <w:abstractNumId w:val="16"/>
  </w:num>
  <w:num w:numId="6">
    <w:abstractNumId w:val="17"/>
  </w:num>
  <w:num w:numId="7">
    <w:abstractNumId w:val="12"/>
  </w:num>
  <w:num w:numId="8">
    <w:abstractNumId w:val="9"/>
  </w:num>
  <w:num w:numId="9">
    <w:abstractNumId w:val="22"/>
  </w:num>
  <w:num w:numId="10">
    <w:abstractNumId w:val="23"/>
  </w:num>
  <w:num w:numId="11">
    <w:abstractNumId w:val="3"/>
  </w:num>
  <w:num w:numId="12">
    <w:abstractNumId w:val="19"/>
  </w:num>
  <w:num w:numId="13">
    <w:abstractNumId w:val="30"/>
  </w:num>
  <w:num w:numId="14">
    <w:abstractNumId w:val="5"/>
  </w:num>
  <w:num w:numId="15">
    <w:abstractNumId w:val="20"/>
  </w:num>
  <w:num w:numId="16">
    <w:abstractNumId w:val="32"/>
  </w:num>
  <w:num w:numId="17">
    <w:abstractNumId w:val="11"/>
  </w:num>
  <w:num w:numId="18">
    <w:abstractNumId w:val="18"/>
  </w:num>
  <w:num w:numId="19">
    <w:abstractNumId w:val="29"/>
  </w:num>
  <w:num w:numId="20">
    <w:abstractNumId w:val="13"/>
  </w:num>
  <w:num w:numId="21">
    <w:abstractNumId w:val="27"/>
  </w:num>
  <w:num w:numId="22">
    <w:abstractNumId w:val="36"/>
  </w:num>
  <w:num w:numId="23">
    <w:abstractNumId w:val="7"/>
  </w:num>
  <w:num w:numId="24">
    <w:abstractNumId w:val="24"/>
  </w:num>
  <w:num w:numId="25">
    <w:abstractNumId w:val="33"/>
  </w:num>
  <w:num w:numId="26">
    <w:abstractNumId w:val="15"/>
  </w:num>
  <w:num w:numId="27">
    <w:abstractNumId w:val="10"/>
  </w:num>
  <w:num w:numId="28">
    <w:abstractNumId w:val="1"/>
  </w:num>
  <w:num w:numId="29">
    <w:abstractNumId w:val="35"/>
  </w:num>
  <w:num w:numId="30">
    <w:abstractNumId w:val="34"/>
  </w:num>
  <w:num w:numId="31">
    <w:abstractNumId w:val="4"/>
  </w:num>
  <w:num w:numId="32">
    <w:abstractNumId w:val="25"/>
  </w:num>
  <w:num w:numId="33">
    <w:abstractNumId w:val="6"/>
  </w:num>
  <w:num w:numId="34">
    <w:abstractNumId w:val="2"/>
  </w:num>
  <w:num w:numId="35">
    <w:abstractNumId w:val="28"/>
  </w:num>
  <w:num w:numId="36">
    <w:abstractNumId w:val="2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DD"/>
    <w:rsid w:val="00017E5F"/>
    <w:rsid w:val="00025809"/>
    <w:rsid w:val="000268F8"/>
    <w:rsid w:val="00030FB2"/>
    <w:rsid w:val="0004210A"/>
    <w:rsid w:val="00055261"/>
    <w:rsid w:val="00061694"/>
    <w:rsid w:val="00062A3F"/>
    <w:rsid w:val="00063E03"/>
    <w:rsid w:val="000652F7"/>
    <w:rsid w:val="000662EC"/>
    <w:rsid w:val="0008452D"/>
    <w:rsid w:val="00097A75"/>
    <w:rsid w:val="000A11BA"/>
    <w:rsid w:val="000A7AA9"/>
    <w:rsid w:val="000B320E"/>
    <w:rsid w:val="000B74DB"/>
    <w:rsid w:val="000C000E"/>
    <w:rsid w:val="000C6632"/>
    <w:rsid w:val="000D365A"/>
    <w:rsid w:val="000D759B"/>
    <w:rsid w:val="0010408C"/>
    <w:rsid w:val="00115020"/>
    <w:rsid w:val="0012044F"/>
    <w:rsid w:val="00123064"/>
    <w:rsid w:val="00124525"/>
    <w:rsid w:val="00124703"/>
    <w:rsid w:val="001319CE"/>
    <w:rsid w:val="00187346"/>
    <w:rsid w:val="0019102C"/>
    <w:rsid w:val="001931C3"/>
    <w:rsid w:val="00197135"/>
    <w:rsid w:val="001A5223"/>
    <w:rsid w:val="001A6B82"/>
    <w:rsid w:val="001B2CA0"/>
    <w:rsid w:val="001B3FFD"/>
    <w:rsid w:val="001B6496"/>
    <w:rsid w:val="001F313C"/>
    <w:rsid w:val="001F71F4"/>
    <w:rsid w:val="002047DE"/>
    <w:rsid w:val="00205305"/>
    <w:rsid w:val="00207BD3"/>
    <w:rsid w:val="002124EC"/>
    <w:rsid w:val="002153BC"/>
    <w:rsid w:val="002255A6"/>
    <w:rsid w:val="00227F68"/>
    <w:rsid w:val="00250AD6"/>
    <w:rsid w:val="00266B8A"/>
    <w:rsid w:val="00286227"/>
    <w:rsid w:val="00292AC4"/>
    <w:rsid w:val="002A0261"/>
    <w:rsid w:val="002A22F9"/>
    <w:rsid w:val="002B6DA5"/>
    <w:rsid w:val="002C78AF"/>
    <w:rsid w:val="002D22A8"/>
    <w:rsid w:val="002D4102"/>
    <w:rsid w:val="002F1C37"/>
    <w:rsid w:val="00302B0B"/>
    <w:rsid w:val="00302D0A"/>
    <w:rsid w:val="003201B3"/>
    <w:rsid w:val="00335DFE"/>
    <w:rsid w:val="00353417"/>
    <w:rsid w:val="003539F3"/>
    <w:rsid w:val="003612C2"/>
    <w:rsid w:val="0036328C"/>
    <w:rsid w:val="003633F4"/>
    <w:rsid w:val="003D49DD"/>
    <w:rsid w:val="003E47CD"/>
    <w:rsid w:val="003E6C0E"/>
    <w:rsid w:val="003F0066"/>
    <w:rsid w:val="00403D9E"/>
    <w:rsid w:val="00414D49"/>
    <w:rsid w:val="00430F4A"/>
    <w:rsid w:val="004430C2"/>
    <w:rsid w:val="00445D0F"/>
    <w:rsid w:val="004571C6"/>
    <w:rsid w:val="00460B14"/>
    <w:rsid w:val="00464034"/>
    <w:rsid w:val="0048563A"/>
    <w:rsid w:val="00492511"/>
    <w:rsid w:val="00493D96"/>
    <w:rsid w:val="00495ABE"/>
    <w:rsid w:val="004A3D56"/>
    <w:rsid w:val="004C787A"/>
    <w:rsid w:val="004D7C2E"/>
    <w:rsid w:val="005255A3"/>
    <w:rsid w:val="005363BC"/>
    <w:rsid w:val="00540170"/>
    <w:rsid w:val="00544E1B"/>
    <w:rsid w:val="005518D0"/>
    <w:rsid w:val="00566664"/>
    <w:rsid w:val="005711FD"/>
    <w:rsid w:val="005741ED"/>
    <w:rsid w:val="0057711E"/>
    <w:rsid w:val="00591E52"/>
    <w:rsid w:val="00594BCB"/>
    <w:rsid w:val="005B42E8"/>
    <w:rsid w:val="005D0E66"/>
    <w:rsid w:val="005F678F"/>
    <w:rsid w:val="006000FF"/>
    <w:rsid w:val="0061129B"/>
    <w:rsid w:val="006169EF"/>
    <w:rsid w:val="0065534F"/>
    <w:rsid w:val="00661483"/>
    <w:rsid w:val="00670200"/>
    <w:rsid w:val="00670C41"/>
    <w:rsid w:val="00677988"/>
    <w:rsid w:val="00683917"/>
    <w:rsid w:val="00693D9B"/>
    <w:rsid w:val="006C26D5"/>
    <w:rsid w:val="006E528E"/>
    <w:rsid w:val="006E6360"/>
    <w:rsid w:val="006F300F"/>
    <w:rsid w:val="00702096"/>
    <w:rsid w:val="007029B7"/>
    <w:rsid w:val="00703B5B"/>
    <w:rsid w:val="007126CF"/>
    <w:rsid w:val="00714BFC"/>
    <w:rsid w:val="00716A74"/>
    <w:rsid w:val="0073506E"/>
    <w:rsid w:val="00751658"/>
    <w:rsid w:val="00776504"/>
    <w:rsid w:val="00785001"/>
    <w:rsid w:val="00785F23"/>
    <w:rsid w:val="00791DB3"/>
    <w:rsid w:val="007B040E"/>
    <w:rsid w:val="007C6E2B"/>
    <w:rsid w:val="007D306B"/>
    <w:rsid w:val="007D756A"/>
    <w:rsid w:val="007F2A1B"/>
    <w:rsid w:val="007F418F"/>
    <w:rsid w:val="00816028"/>
    <w:rsid w:val="008257E7"/>
    <w:rsid w:val="0083314D"/>
    <w:rsid w:val="00865D46"/>
    <w:rsid w:val="00870D7E"/>
    <w:rsid w:val="00876E69"/>
    <w:rsid w:val="008853A2"/>
    <w:rsid w:val="008A3D8A"/>
    <w:rsid w:val="008A6159"/>
    <w:rsid w:val="008C67E8"/>
    <w:rsid w:val="008E5331"/>
    <w:rsid w:val="008F2711"/>
    <w:rsid w:val="008F67C8"/>
    <w:rsid w:val="00925E6A"/>
    <w:rsid w:val="009750C1"/>
    <w:rsid w:val="00991FA8"/>
    <w:rsid w:val="009A5E98"/>
    <w:rsid w:val="009D6C27"/>
    <w:rsid w:val="009E2CE9"/>
    <w:rsid w:val="009E3D8F"/>
    <w:rsid w:val="00A60AD7"/>
    <w:rsid w:val="00A777EC"/>
    <w:rsid w:val="00A91FC0"/>
    <w:rsid w:val="00A95059"/>
    <w:rsid w:val="00A954F5"/>
    <w:rsid w:val="00AC16E3"/>
    <w:rsid w:val="00AC6621"/>
    <w:rsid w:val="00AF4BB9"/>
    <w:rsid w:val="00B0454E"/>
    <w:rsid w:val="00B35A3D"/>
    <w:rsid w:val="00B50DDF"/>
    <w:rsid w:val="00B53920"/>
    <w:rsid w:val="00B67EE0"/>
    <w:rsid w:val="00B80DEC"/>
    <w:rsid w:val="00B81024"/>
    <w:rsid w:val="00B90283"/>
    <w:rsid w:val="00B92CE8"/>
    <w:rsid w:val="00BB189C"/>
    <w:rsid w:val="00BC0C3F"/>
    <w:rsid w:val="00BC231A"/>
    <w:rsid w:val="00BD6358"/>
    <w:rsid w:val="00BE6C61"/>
    <w:rsid w:val="00BE7EC5"/>
    <w:rsid w:val="00BE7EC9"/>
    <w:rsid w:val="00BF0457"/>
    <w:rsid w:val="00BF0C94"/>
    <w:rsid w:val="00BF44BA"/>
    <w:rsid w:val="00C0756C"/>
    <w:rsid w:val="00C25DE2"/>
    <w:rsid w:val="00C322F3"/>
    <w:rsid w:val="00C3241C"/>
    <w:rsid w:val="00C43875"/>
    <w:rsid w:val="00C46D33"/>
    <w:rsid w:val="00C5535E"/>
    <w:rsid w:val="00C6726E"/>
    <w:rsid w:val="00C7226B"/>
    <w:rsid w:val="00C75C4C"/>
    <w:rsid w:val="00C80556"/>
    <w:rsid w:val="00CA01F4"/>
    <w:rsid w:val="00CA6944"/>
    <w:rsid w:val="00CB146A"/>
    <w:rsid w:val="00CC2D8D"/>
    <w:rsid w:val="00CC7765"/>
    <w:rsid w:val="00CE31E4"/>
    <w:rsid w:val="00CF199F"/>
    <w:rsid w:val="00D151D3"/>
    <w:rsid w:val="00D158FF"/>
    <w:rsid w:val="00D2365B"/>
    <w:rsid w:val="00D31A82"/>
    <w:rsid w:val="00D36DDC"/>
    <w:rsid w:val="00D4143F"/>
    <w:rsid w:val="00D47BDD"/>
    <w:rsid w:val="00D6000F"/>
    <w:rsid w:val="00D659DD"/>
    <w:rsid w:val="00D70CBF"/>
    <w:rsid w:val="00D83A93"/>
    <w:rsid w:val="00D85A0C"/>
    <w:rsid w:val="00D93E1D"/>
    <w:rsid w:val="00DB06FA"/>
    <w:rsid w:val="00DD1AF3"/>
    <w:rsid w:val="00DE0700"/>
    <w:rsid w:val="00E12F2A"/>
    <w:rsid w:val="00E52BE8"/>
    <w:rsid w:val="00E75AF2"/>
    <w:rsid w:val="00E766CE"/>
    <w:rsid w:val="00E76C32"/>
    <w:rsid w:val="00E81196"/>
    <w:rsid w:val="00E83D7E"/>
    <w:rsid w:val="00EA0FA0"/>
    <w:rsid w:val="00ED4337"/>
    <w:rsid w:val="00ED5F6C"/>
    <w:rsid w:val="00EE619B"/>
    <w:rsid w:val="00EE76F9"/>
    <w:rsid w:val="00F02A4E"/>
    <w:rsid w:val="00F05032"/>
    <w:rsid w:val="00F10D5B"/>
    <w:rsid w:val="00F1565A"/>
    <w:rsid w:val="00F37806"/>
    <w:rsid w:val="00F447CF"/>
    <w:rsid w:val="00F46351"/>
    <w:rsid w:val="00F53AD6"/>
    <w:rsid w:val="00F912CC"/>
    <w:rsid w:val="00FA55CB"/>
    <w:rsid w:val="00FB7663"/>
    <w:rsid w:val="00FC59E1"/>
    <w:rsid w:val="00FD11E5"/>
    <w:rsid w:val="00FF39E6"/>
    <w:rsid w:val="00FF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1801250-F34D-43DF-A830-DF2F95E3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9DD"/>
    <w:rPr>
      <w:rFonts w:ascii="Arial" w:hAnsi="Arial"/>
      <w:kern w:val="28"/>
      <w:sz w:val="24"/>
    </w:rPr>
  </w:style>
  <w:style w:type="paragraph" w:styleId="Heading1">
    <w:name w:val="heading 1"/>
    <w:basedOn w:val="Normal"/>
    <w:next w:val="Normal"/>
    <w:qFormat/>
    <w:rsid w:val="00D659DD"/>
    <w:pPr>
      <w:keepNext/>
      <w:spacing w:after="144"/>
      <w:outlineLvl w:val="0"/>
    </w:pPr>
    <w:rPr>
      <w:b/>
      <w:color w:val="000000"/>
      <w:kern w:val="0"/>
      <w:sz w:val="22"/>
    </w:rPr>
  </w:style>
  <w:style w:type="paragraph" w:styleId="Heading2">
    <w:name w:val="heading 2"/>
    <w:basedOn w:val="Normal"/>
    <w:next w:val="Normal"/>
    <w:qFormat/>
    <w:rsid w:val="00D659DD"/>
    <w:pPr>
      <w:keepNext/>
      <w:ind w:left="144" w:right="144"/>
      <w:jc w:val="center"/>
      <w:outlineLvl w:val="1"/>
    </w:pPr>
    <w:rPr>
      <w:sz w:val="56"/>
    </w:rPr>
  </w:style>
  <w:style w:type="paragraph" w:styleId="Heading3">
    <w:name w:val="heading 3"/>
    <w:basedOn w:val="Normal"/>
    <w:next w:val="Normal"/>
    <w:qFormat/>
    <w:rsid w:val="00D659DD"/>
    <w:pPr>
      <w:keepNext/>
      <w:tabs>
        <w:tab w:val="left" w:pos="720"/>
      </w:tabs>
      <w:spacing w:after="144"/>
      <w:jc w:val="both"/>
      <w:outlineLvl w:val="2"/>
    </w:pPr>
    <w:rPr>
      <w:b/>
      <w:color w:val="000000"/>
      <w:kern w:val="0"/>
      <w:sz w:val="22"/>
    </w:rPr>
  </w:style>
  <w:style w:type="paragraph" w:styleId="Heading5">
    <w:name w:val="heading 5"/>
    <w:basedOn w:val="Normal"/>
    <w:next w:val="Normal"/>
    <w:qFormat/>
    <w:rsid w:val="002A0261"/>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D659DD"/>
    <w:pPr>
      <w:spacing w:after="144"/>
    </w:pPr>
    <w:rPr>
      <w:color w:val="000000"/>
      <w:spacing w:val="2"/>
      <w:kern w:val="0"/>
      <w:sz w:val="22"/>
    </w:rPr>
  </w:style>
  <w:style w:type="paragraph" w:styleId="BodyText2">
    <w:name w:val="Body Text 2"/>
    <w:basedOn w:val="Normal"/>
    <w:rsid w:val="00D659DD"/>
    <w:pPr>
      <w:jc w:val="both"/>
    </w:pPr>
    <w:rPr>
      <w:color w:val="000000"/>
      <w:kern w:val="0"/>
      <w:sz w:val="22"/>
    </w:rPr>
  </w:style>
  <w:style w:type="paragraph" w:styleId="Header">
    <w:name w:val="header"/>
    <w:basedOn w:val="Normal"/>
    <w:rsid w:val="00D659DD"/>
    <w:pPr>
      <w:tabs>
        <w:tab w:val="center" w:pos="4320"/>
        <w:tab w:val="right" w:pos="8640"/>
      </w:tabs>
    </w:pPr>
    <w:rPr>
      <w:rFonts w:ascii="Times New Roman" w:hAnsi="Times New Roman"/>
      <w:color w:val="000000"/>
      <w:kern w:val="0"/>
      <w:sz w:val="20"/>
    </w:rPr>
  </w:style>
  <w:style w:type="paragraph" w:styleId="Footer">
    <w:name w:val="footer"/>
    <w:basedOn w:val="Normal"/>
    <w:rsid w:val="00D659DD"/>
    <w:pPr>
      <w:tabs>
        <w:tab w:val="center" w:pos="4320"/>
        <w:tab w:val="right" w:pos="8640"/>
      </w:tabs>
    </w:pPr>
    <w:rPr>
      <w:rFonts w:ascii="Times New Roman" w:hAnsi="Times New Roman"/>
      <w:color w:val="000000"/>
      <w:kern w:val="0"/>
      <w:sz w:val="20"/>
    </w:rPr>
  </w:style>
  <w:style w:type="character" w:styleId="PageNumber">
    <w:name w:val="page number"/>
    <w:rsid w:val="00D659DD"/>
    <w:rPr>
      <w:rFonts w:ascii="Times New Roman" w:hAnsi="Times New Roman" w:hint="default"/>
      <w:strike w:val="0"/>
      <w:noProof/>
      <w:color w:val="000000"/>
      <w:spacing w:val="0"/>
      <w:sz w:val="20"/>
    </w:rPr>
  </w:style>
  <w:style w:type="paragraph" w:styleId="BodyTextIndent">
    <w:name w:val="Body Text Indent"/>
    <w:basedOn w:val="Normal"/>
    <w:rsid w:val="00D659DD"/>
    <w:pPr>
      <w:tabs>
        <w:tab w:val="left" w:pos="720"/>
        <w:tab w:val="left" w:pos="1134"/>
      </w:tabs>
      <w:ind w:left="1800"/>
      <w:jc w:val="both"/>
    </w:pPr>
    <w:rPr>
      <w:color w:val="000000"/>
      <w:spacing w:val="2"/>
      <w:kern w:val="0"/>
      <w:sz w:val="22"/>
    </w:rPr>
  </w:style>
  <w:style w:type="paragraph" w:styleId="BodyTextIndent2">
    <w:name w:val="Body Text Indent 2"/>
    <w:basedOn w:val="Normal"/>
    <w:rsid w:val="00D659DD"/>
    <w:pPr>
      <w:ind w:left="720"/>
    </w:pPr>
    <w:rPr>
      <w:color w:val="000000"/>
      <w:kern w:val="0"/>
      <w:sz w:val="22"/>
    </w:rPr>
  </w:style>
  <w:style w:type="paragraph" w:styleId="BodyTextIndent3">
    <w:name w:val="Body Text Indent 3"/>
    <w:basedOn w:val="Normal"/>
    <w:rsid w:val="00D659DD"/>
    <w:pPr>
      <w:ind w:left="709"/>
    </w:pPr>
    <w:rPr>
      <w:color w:val="000000"/>
      <w:kern w:val="0"/>
      <w:sz w:val="22"/>
    </w:rPr>
  </w:style>
  <w:style w:type="paragraph" w:styleId="BodyText3">
    <w:name w:val="Body Text 3"/>
    <w:basedOn w:val="Normal"/>
    <w:rsid w:val="00D659DD"/>
    <w:pPr>
      <w:tabs>
        <w:tab w:val="left" w:pos="720"/>
      </w:tabs>
      <w:spacing w:after="144"/>
    </w:pPr>
    <w:rPr>
      <w:bCs/>
      <w:sz w:val="22"/>
    </w:rPr>
  </w:style>
  <w:style w:type="paragraph" w:customStyle="1" w:styleId="g-text">
    <w:name w:val="g-text"/>
    <w:basedOn w:val="Normal"/>
    <w:rsid w:val="001B3FFD"/>
    <w:pPr>
      <w:spacing w:before="60" w:after="60" w:line="260" w:lineRule="exact"/>
    </w:pPr>
    <w:rPr>
      <w:rFonts w:ascii="Times New Roman" w:hAnsi="Times New Roman"/>
      <w:kern w:val="0"/>
      <w:sz w:val="22"/>
      <w:lang w:eastAsia="en-US"/>
    </w:rPr>
  </w:style>
  <w:style w:type="paragraph" w:customStyle="1" w:styleId="g-text1">
    <w:name w:val="g-text1"/>
    <w:basedOn w:val="Normal"/>
    <w:rsid w:val="008A6159"/>
    <w:pPr>
      <w:numPr>
        <w:numId w:val="14"/>
      </w:numPr>
      <w:spacing w:before="60" w:after="60" w:line="260" w:lineRule="exact"/>
    </w:pPr>
    <w:rPr>
      <w:rFonts w:ascii="Times New Roman" w:hAnsi="Times New Roman"/>
      <w:kern w:val="0"/>
      <w:sz w:val="22"/>
      <w:lang w:eastAsia="en-US"/>
    </w:rPr>
  </w:style>
  <w:style w:type="paragraph" w:customStyle="1" w:styleId="bullets">
    <w:name w:val="bullets"/>
    <w:basedOn w:val="Normal"/>
    <w:rsid w:val="00870D7E"/>
    <w:pPr>
      <w:numPr>
        <w:numId w:val="18"/>
      </w:numPr>
      <w:spacing w:after="240"/>
      <w:jc w:val="both"/>
    </w:pPr>
    <w:rPr>
      <w:rFonts w:ascii="Verdana" w:hAnsi="Verdana"/>
      <w:kern w:val="0"/>
      <w:sz w:val="20"/>
      <w:lang w:eastAsia="en-US"/>
    </w:rPr>
  </w:style>
  <w:style w:type="paragraph" w:customStyle="1" w:styleId="Titles">
    <w:name w:val="Titles"/>
    <w:basedOn w:val="Heading5"/>
    <w:rsid w:val="002A0261"/>
    <w:pPr>
      <w:spacing w:before="120" w:after="120"/>
      <w:ind w:left="851" w:hanging="851"/>
    </w:pPr>
    <w:rPr>
      <w:i w:val="0"/>
      <w:color w:val="0000FF"/>
      <w:kern w:val="0"/>
      <w:sz w:val="22"/>
      <w:szCs w:val="22"/>
      <w:lang w:eastAsia="en-US"/>
    </w:rPr>
  </w:style>
  <w:style w:type="paragraph" w:styleId="TOC1">
    <w:name w:val="toc 1"/>
    <w:basedOn w:val="Normal"/>
    <w:rsid w:val="002A0261"/>
    <w:rPr>
      <w:rFonts w:cs="Arial"/>
      <w:kern w:val="0"/>
      <w:szCs w:val="24"/>
    </w:rPr>
  </w:style>
  <w:style w:type="table" w:styleId="TableGrid">
    <w:name w:val="Table Grid"/>
    <w:basedOn w:val="TableNormal"/>
    <w:uiPriority w:val="59"/>
    <w:rsid w:val="002A0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 Char"/>
    <w:basedOn w:val="Normal"/>
    <w:rsid w:val="00F37806"/>
    <w:pPr>
      <w:spacing w:after="160" w:line="240" w:lineRule="exact"/>
    </w:pPr>
    <w:rPr>
      <w:rFonts w:ascii="Tahoma" w:hAnsi="Tahoma" w:cs="Tahoma"/>
      <w:kern w:val="0"/>
      <w:sz w:val="20"/>
      <w:lang w:val="en-US" w:eastAsia="en-US"/>
    </w:rPr>
  </w:style>
  <w:style w:type="paragraph" w:styleId="BalloonText">
    <w:name w:val="Balloon Text"/>
    <w:basedOn w:val="Normal"/>
    <w:semiHidden/>
    <w:rsid w:val="00D70CBF"/>
    <w:rPr>
      <w:rFonts w:ascii="Tahoma" w:hAnsi="Tahoma" w:cs="Tahoma"/>
      <w:sz w:val="16"/>
      <w:szCs w:val="16"/>
    </w:rPr>
  </w:style>
  <w:style w:type="character" w:styleId="CommentReference">
    <w:name w:val="annotation reference"/>
    <w:uiPriority w:val="99"/>
    <w:semiHidden/>
    <w:rsid w:val="00D70CBF"/>
    <w:rPr>
      <w:sz w:val="16"/>
      <w:szCs w:val="16"/>
    </w:rPr>
  </w:style>
  <w:style w:type="paragraph" w:styleId="CommentText">
    <w:name w:val="annotation text"/>
    <w:basedOn w:val="Normal"/>
    <w:link w:val="CommentTextChar"/>
    <w:uiPriority w:val="99"/>
    <w:rsid w:val="00D70CBF"/>
    <w:rPr>
      <w:sz w:val="20"/>
    </w:rPr>
  </w:style>
  <w:style w:type="paragraph" w:styleId="CommentSubject">
    <w:name w:val="annotation subject"/>
    <w:basedOn w:val="CommentText"/>
    <w:next w:val="CommentText"/>
    <w:semiHidden/>
    <w:rsid w:val="00D70CBF"/>
    <w:rPr>
      <w:b/>
      <w:bCs/>
    </w:rPr>
  </w:style>
  <w:style w:type="paragraph" w:customStyle="1" w:styleId="Default">
    <w:name w:val="Default"/>
    <w:rsid w:val="00460B14"/>
    <w:pPr>
      <w:autoSpaceDE w:val="0"/>
      <w:autoSpaceDN w:val="0"/>
      <w:adjustRightInd w:val="0"/>
    </w:pPr>
    <w:rPr>
      <w:rFonts w:ascii="Calibri" w:eastAsia="Calibri" w:hAnsi="Calibri" w:cs="Calibri"/>
      <w:color w:val="000000"/>
      <w:sz w:val="24"/>
      <w:szCs w:val="24"/>
      <w:lang w:eastAsia="en-US"/>
    </w:rPr>
  </w:style>
  <w:style w:type="character" w:customStyle="1" w:styleId="CommentTextChar">
    <w:name w:val="Comment Text Char"/>
    <w:link w:val="CommentText"/>
    <w:uiPriority w:val="99"/>
    <w:rsid w:val="00460B14"/>
    <w:rPr>
      <w:rFonts w:ascii="Arial" w:hAnsi="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7DACA-DBDF-468C-8D02-5F43B83A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3654</Words>
  <Characters>20829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QCA</Company>
  <LinksUpToDate>false</LinksUpToDate>
  <CharactersWithSpaces>24435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QCA</dc:creator>
  <cp:keywords/>
  <cp:lastModifiedBy>Linda Meikle</cp:lastModifiedBy>
  <cp:revision>2</cp:revision>
  <cp:lastPrinted>2008-06-05T14:52:00Z</cp:lastPrinted>
  <dcterms:created xsi:type="dcterms:W3CDTF">2018-06-28T08:38:00Z</dcterms:created>
  <dcterms:modified xsi:type="dcterms:W3CDTF">2018-06-28T08:38:00Z</dcterms:modified>
</cp:coreProperties>
</file>