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26"/>
        <w:gridCol w:w="4500"/>
      </w:tblGrid>
      <w:tr w:rsidR="005B3EBC" w:rsidRPr="00F77C66" w:rsidTr="00D74A15">
        <w:tc>
          <w:tcPr>
            <w:tcW w:w="4621" w:type="dxa"/>
            <w:tcBorders>
              <w:top w:val="nil"/>
              <w:left w:val="nil"/>
              <w:bottom w:val="nil"/>
              <w:right w:val="nil"/>
            </w:tcBorders>
          </w:tcPr>
          <w:p w:rsidR="005B3EBC" w:rsidRPr="00F77C66" w:rsidRDefault="00260916" w:rsidP="0024175F">
            <w:pPr>
              <w:rPr>
                <w:rFonts w:ascii="Arial" w:eastAsiaTheme="majorEastAsia" w:hAnsi="Arial" w:cs="Arial"/>
                <w:b/>
                <w:sz w:val="32"/>
                <w:lang w:eastAsia="en-US"/>
              </w:rPr>
            </w:pPr>
            <w:r>
              <w:rPr>
                <w:rFonts w:ascii="Arial" w:eastAsiaTheme="majorEastAsia" w:hAnsi="Arial" w:cs="Arial"/>
                <w:b/>
                <w:sz w:val="32"/>
                <w:lang w:eastAsia="en-US"/>
              </w:rPr>
              <w:t>Core Skills Signposting</w:t>
            </w:r>
          </w:p>
        </w:tc>
        <w:tc>
          <w:tcPr>
            <w:tcW w:w="4621"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621" w:type="dxa"/>
            <w:tcBorders>
              <w:top w:val="nil"/>
              <w:left w:val="nil"/>
              <w:bottom w:val="nil"/>
              <w:right w:val="nil"/>
            </w:tcBorders>
          </w:tcPr>
          <w:p w:rsidR="005B3EBC" w:rsidRPr="00B4655B" w:rsidRDefault="00B4655B" w:rsidP="0024175F">
            <w:pPr>
              <w:rPr>
                <w:rFonts w:ascii="Arial" w:hAnsi="Arial" w:cs="Arial"/>
                <w:b/>
              </w:rPr>
            </w:pPr>
            <w:r w:rsidRPr="00B4655B">
              <w:rPr>
                <w:rFonts w:ascii="Arial" w:hAnsi="Arial" w:cs="Arial"/>
                <w:b/>
              </w:rPr>
              <w:t>Scientific, Technical and Formulation Processing</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621" w:type="dxa"/>
            <w:tcBorders>
              <w:top w:val="nil"/>
              <w:left w:val="nil"/>
              <w:bottom w:val="nil"/>
              <w:right w:val="nil"/>
            </w:tcBorders>
          </w:tcPr>
          <w:p w:rsidR="005B3EBC" w:rsidRPr="00FB59D7" w:rsidRDefault="00E769F2" w:rsidP="0024175F">
            <w:pPr>
              <w:rPr>
                <w:rFonts w:ascii="Arial" w:hAnsi="Arial" w:cs="Arial"/>
                <w:b/>
              </w:rPr>
            </w:pPr>
            <w:r>
              <w:rPr>
                <w:rFonts w:ascii="Arial" w:hAnsi="Arial" w:cs="Arial"/>
                <w:b/>
              </w:rPr>
              <w:t xml:space="preserve">SVQ </w:t>
            </w:r>
            <w:r w:rsidRPr="00E769F2">
              <w:rPr>
                <w:rFonts w:ascii="Arial" w:hAnsi="Arial" w:cs="Arial"/>
                <w:b/>
              </w:rPr>
              <w:t>Scientific, Technical and Formulation Processing at SCQF Level 5</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621" w:type="dxa"/>
            <w:tcBorders>
              <w:top w:val="nil"/>
              <w:left w:val="nil"/>
              <w:bottom w:val="nil"/>
              <w:right w:val="nil"/>
            </w:tcBorders>
          </w:tcPr>
          <w:p w:rsidR="005B3EBC" w:rsidRPr="005D02A5" w:rsidRDefault="00B43751" w:rsidP="0024175F">
            <w:pPr>
              <w:rPr>
                <w:rFonts w:ascii="Arial" w:hAnsi="Arial" w:cs="Arial"/>
                <w:b/>
              </w:rPr>
            </w:pPr>
            <w:r>
              <w:rPr>
                <w:rFonts w:ascii="Arial" w:hAnsi="Arial" w:cs="Arial"/>
                <w:b/>
              </w:rPr>
              <w:t>SEMTA</w:t>
            </w:r>
            <w:bookmarkStart w:id="0" w:name="_GoBack"/>
            <w:bookmarkEnd w:id="0"/>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621" w:type="dxa"/>
            <w:tcBorders>
              <w:top w:val="nil"/>
              <w:left w:val="nil"/>
              <w:bottom w:val="nil"/>
              <w:right w:val="nil"/>
            </w:tcBorders>
          </w:tcPr>
          <w:p w:rsidR="005B3EBC" w:rsidRPr="00F77C66" w:rsidRDefault="00B4655B" w:rsidP="0024175F">
            <w:pPr>
              <w:rPr>
                <w:rFonts w:ascii="Arial" w:hAnsi="Arial" w:cs="Arial"/>
              </w:rPr>
            </w:pPr>
            <w:r>
              <w:rPr>
                <w:rFonts w:ascii="Arial" w:hAnsi="Arial" w:cs="Arial"/>
              </w:rPr>
              <w:t>14 February 2018</w:t>
            </w:r>
          </w:p>
        </w:tc>
      </w:tr>
      <w:tr w:rsidR="005B3EBC" w:rsidRPr="00F77C66" w:rsidTr="00B16190">
        <w:trPr>
          <w:trHeight w:val="160"/>
        </w:trPr>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621" w:type="dxa"/>
            <w:tcBorders>
              <w:top w:val="nil"/>
              <w:left w:val="nil"/>
              <w:bottom w:val="nil"/>
              <w:right w:val="nil"/>
            </w:tcBorders>
          </w:tcPr>
          <w:p w:rsidR="005B3EBC" w:rsidRPr="00F77C66" w:rsidRDefault="00B4655B" w:rsidP="0024175F">
            <w:pPr>
              <w:rPr>
                <w:rFonts w:ascii="Arial" w:hAnsi="Arial" w:cs="Arial"/>
              </w:rPr>
            </w:pPr>
            <w:r>
              <w:rPr>
                <w:rFonts w:ascii="Arial" w:hAnsi="Arial" w:cs="Arial"/>
              </w:rPr>
              <w:t>1</w:t>
            </w: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r w:rsidR="00625124">
        <w:rPr>
          <w:rFonts w:ascii="Arial" w:hAnsi="Arial" w:cs="Arial"/>
          <w:sz w:val="22"/>
          <w:szCs w:val="22"/>
        </w:rPr>
        <w:t xml:space="preserve"> at SCQF Level 5</w:t>
      </w:r>
    </w:p>
    <w:p w:rsidR="00F2548A" w:rsidRPr="00F07A92" w:rsidRDefault="00F2548A" w:rsidP="00F2548A">
      <w:pPr>
        <w:rPr>
          <w:rFonts w:ascii="Arial" w:hAnsi="Arial" w:cs="Arial"/>
        </w:rPr>
      </w:pPr>
    </w:p>
    <w:tbl>
      <w:tblPr>
        <w:tblStyle w:val="TableGrid"/>
        <w:tblW w:w="10065" w:type="dxa"/>
        <w:tblInd w:w="-318" w:type="dxa"/>
        <w:tblLayout w:type="fixed"/>
        <w:tblLook w:val="04A0" w:firstRow="1" w:lastRow="0" w:firstColumn="1" w:lastColumn="0" w:noHBand="0" w:noVBand="1"/>
      </w:tblPr>
      <w:tblGrid>
        <w:gridCol w:w="1419"/>
        <w:gridCol w:w="2551"/>
        <w:gridCol w:w="1701"/>
        <w:gridCol w:w="992"/>
        <w:gridCol w:w="1134"/>
        <w:gridCol w:w="993"/>
        <w:gridCol w:w="1275"/>
      </w:tblGrid>
      <w:tr w:rsidR="00F2548A" w:rsidRPr="00F07A92" w:rsidTr="00215F78">
        <w:tc>
          <w:tcPr>
            <w:tcW w:w="10065" w:type="dxa"/>
            <w:gridSpan w:val="7"/>
          </w:tcPr>
          <w:p w:rsidR="00F2548A" w:rsidRPr="0009094F" w:rsidRDefault="00F2548A" w:rsidP="00FD09C4">
            <w:pPr>
              <w:rPr>
                <w:rFonts w:ascii="Arial" w:hAnsi="Arial" w:cs="Arial"/>
                <w:b/>
              </w:rPr>
            </w:pPr>
            <w:r w:rsidRPr="0009094F">
              <w:rPr>
                <w:rFonts w:ascii="Arial" w:hAnsi="Arial" w:cs="Arial"/>
                <w:b/>
              </w:rPr>
              <w:t>Qualification or Suite Title</w:t>
            </w:r>
            <w:r w:rsidR="00AE578A" w:rsidRPr="0009094F">
              <w:rPr>
                <w:rFonts w:ascii="Arial" w:hAnsi="Arial" w:cs="Arial"/>
                <w:b/>
              </w:rPr>
              <w:t xml:space="preserve"> :</w:t>
            </w:r>
            <w:r w:rsidR="00D629CC" w:rsidRPr="0009094F">
              <w:rPr>
                <w:rFonts w:ascii="Arial" w:hAnsi="Arial" w:cs="Arial"/>
                <w:b/>
              </w:rPr>
              <w:t xml:space="preserve"> SVQ </w:t>
            </w:r>
            <w:r w:rsidR="00E769F2" w:rsidRPr="0009094F">
              <w:rPr>
                <w:rFonts w:ascii="Arial" w:hAnsi="Arial" w:cs="Arial"/>
                <w:b/>
              </w:rPr>
              <w:t>Scientific, Technical and Formulation Processing at SCQF Level 5</w:t>
            </w:r>
          </w:p>
          <w:p w:rsidR="00D629CC" w:rsidRPr="00F07A92" w:rsidRDefault="00D629CC" w:rsidP="00FD09C4">
            <w:pPr>
              <w:rPr>
                <w:rFonts w:ascii="Arial" w:hAnsi="Arial" w:cs="Arial"/>
              </w:rPr>
            </w:pPr>
          </w:p>
        </w:tc>
      </w:tr>
      <w:tr w:rsidR="00322E2B" w:rsidRPr="00F07A92" w:rsidTr="00C539FF">
        <w:tc>
          <w:tcPr>
            <w:tcW w:w="1419" w:type="dxa"/>
          </w:tcPr>
          <w:p w:rsidR="00F2548A" w:rsidRPr="00C539FF" w:rsidRDefault="00F2548A" w:rsidP="00FD09C4">
            <w:pPr>
              <w:rPr>
                <w:rFonts w:ascii="Arial" w:hAnsi="Arial" w:cs="Arial"/>
                <w:b/>
                <w:sz w:val="18"/>
                <w:szCs w:val="18"/>
              </w:rPr>
            </w:pPr>
            <w:r w:rsidRPr="00C539FF">
              <w:rPr>
                <w:rFonts w:ascii="Arial" w:hAnsi="Arial" w:cs="Arial"/>
                <w:b/>
                <w:sz w:val="18"/>
                <w:szCs w:val="18"/>
              </w:rPr>
              <w:t>URN</w:t>
            </w:r>
          </w:p>
        </w:tc>
        <w:tc>
          <w:tcPr>
            <w:tcW w:w="2551" w:type="dxa"/>
          </w:tcPr>
          <w:p w:rsidR="00F2548A" w:rsidRPr="00C539FF" w:rsidRDefault="00F2548A" w:rsidP="00FD09C4">
            <w:pPr>
              <w:rPr>
                <w:rFonts w:ascii="Arial" w:hAnsi="Arial" w:cs="Arial"/>
                <w:b/>
                <w:sz w:val="18"/>
                <w:szCs w:val="18"/>
              </w:rPr>
            </w:pPr>
            <w:r w:rsidRPr="00C539FF">
              <w:rPr>
                <w:rFonts w:ascii="Arial" w:hAnsi="Arial" w:cs="Arial"/>
                <w:b/>
                <w:sz w:val="18"/>
                <w:szCs w:val="18"/>
              </w:rPr>
              <w:t>Unit title</w:t>
            </w:r>
          </w:p>
        </w:tc>
        <w:tc>
          <w:tcPr>
            <w:tcW w:w="1701" w:type="dxa"/>
          </w:tcPr>
          <w:p w:rsidR="00F2548A" w:rsidRPr="00C539FF" w:rsidRDefault="00F2548A" w:rsidP="00FD09C4">
            <w:pPr>
              <w:rPr>
                <w:rFonts w:ascii="Arial" w:hAnsi="Arial" w:cs="Arial"/>
                <w:b/>
                <w:sz w:val="18"/>
                <w:szCs w:val="18"/>
              </w:rPr>
            </w:pPr>
            <w:r w:rsidRPr="00C539FF">
              <w:rPr>
                <w:rFonts w:ascii="Arial" w:hAnsi="Arial" w:cs="Arial"/>
                <w:b/>
                <w:sz w:val="18"/>
                <w:szCs w:val="18"/>
              </w:rPr>
              <w:t>Communication</w:t>
            </w:r>
          </w:p>
        </w:tc>
        <w:tc>
          <w:tcPr>
            <w:tcW w:w="992" w:type="dxa"/>
          </w:tcPr>
          <w:p w:rsidR="00F2548A" w:rsidRPr="00C539FF" w:rsidRDefault="00F2548A" w:rsidP="00FD09C4">
            <w:pPr>
              <w:rPr>
                <w:rFonts w:ascii="Arial" w:hAnsi="Arial" w:cs="Arial"/>
                <w:b/>
                <w:sz w:val="18"/>
                <w:szCs w:val="18"/>
              </w:rPr>
            </w:pPr>
            <w:r w:rsidRPr="00C539FF">
              <w:rPr>
                <w:rFonts w:ascii="Arial" w:hAnsi="Arial" w:cs="Arial"/>
                <w:b/>
                <w:sz w:val="18"/>
                <w:szCs w:val="18"/>
              </w:rPr>
              <w:t>ICT</w:t>
            </w:r>
          </w:p>
        </w:tc>
        <w:tc>
          <w:tcPr>
            <w:tcW w:w="1134" w:type="dxa"/>
          </w:tcPr>
          <w:p w:rsidR="00F2548A" w:rsidRPr="00C539FF" w:rsidRDefault="00F2548A" w:rsidP="00FD09C4">
            <w:pPr>
              <w:rPr>
                <w:rFonts w:ascii="Arial" w:hAnsi="Arial" w:cs="Arial"/>
                <w:b/>
                <w:sz w:val="18"/>
                <w:szCs w:val="18"/>
              </w:rPr>
            </w:pPr>
            <w:r w:rsidRPr="00C539FF">
              <w:rPr>
                <w:rFonts w:ascii="Arial" w:hAnsi="Arial" w:cs="Arial"/>
                <w:b/>
                <w:sz w:val="18"/>
                <w:szCs w:val="18"/>
              </w:rPr>
              <w:t>Numeracy</w:t>
            </w:r>
          </w:p>
        </w:tc>
        <w:tc>
          <w:tcPr>
            <w:tcW w:w="993" w:type="dxa"/>
          </w:tcPr>
          <w:p w:rsidR="00F2548A" w:rsidRPr="00C539FF" w:rsidRDefault="00F2548A" w:rsidP="00FD09C4">
            <w:pPr>
              <w:rPr>
                <w:rFonts w:ascii="Arial" w:hAnsi="Arial" w:cs="Arial"/>
                <w:b/>
                <w:sz w:val="18"/>
                <w:szCs w:val="18"/>
              </w:rPr>
            </w:pPr>
            <w:r w:rsidRPr="00C539FF">
              <w:rPr>
                <w:rFonts w:ascii="Arial" w:hAnsi="Arial" w:cs="Arial"/>
                <w:b/>
                <w:sz w:val="18"/>
                <w:szCs w:val="18"/>
              </w:rPr>
              <w:t>Problem Solving</w:t>
            </w:r>
          </w:p>
        </w:tc>
        <w:tc>
          <w:tcPr>
            <w:tcW w:w="1275" w:type="dxa"/>
          </w:tcPr>
          <w:p w:rsidR="00F2548A" w:rsidRPr="00C539FF" w:rsidRDefault="00F2548A" w:rsidP="00FD09C4">
            <w:pPr>
              <w:rPr>
                <w:rFonts w:ascii="Arial" w:hAnsi="Arial" w:cs="Arial"/>
                <w:b/>
                <w:sz w:val="18"/>
                <w:szCs w:val="18"/>
              </w:rPr>
            </w:pPr>
            <w:r w:rsidRPr="00C539FF">
              <w:rPr>
                <w:rFonts w:ascii="Arial" w:hAnsi="Arial" w:cs="Arial"/>
                <w:b/>
                <w:sz w:val="18"/>
                <w:szCs w:val="18"/>
              </w:rPr>
              <w:t>Working with Others</w:t>
            </w:r>
          </w:p>
        </w:tc>
      </w:tr>
      <w:tr w:rsidR="00322E2B" w:rsidRPr="00F07A92" w:rsidTr="00C539FF">
        <w:tc>
          <w:tcPr>
            <w:tcW w:w="1419" w:type="dxa"/>
            <w:vAlign w:val="center"/>
          </w:tcPr>
          <w:p w:rsidR="00BC1774" w:rsidRDefault="0009094F" w:rsidP="00AE7123">
            <w:pPr>
              <w:rPr>
                <w:rFonts w:ascii="Arial" w:hAnsi="Arial" w:cs="Arial"/>
                <w:sz w:val="18"/>
              </w:rPr>
            </w:pPr>
            <w:r w:rsidRPr="00BC1774">
              <w:rPr>
                <w:rFonts w:ascii="Arial" w:hAnsi="Arial" w:cs="Arial"/>
                <w:sz w:val="18"/>
              </w:rPr>
              <w:t>SEMLATA</w:t>
            </w:r>
          </w:p>
          <w:p w:rsidR="0009094F" w:rsidRPr="00BC1774" w:rsidRDefault="0009094F" w:rsidP="00AE7123">
            <w:pPr>
              <w:rPr>
                <w:rFonts w:ascii="Arial" w:hAnsi="Arial" w:cs="Arial"/>
                <w:sz w:val="18"/>
              </w:rPr>
            </w:pPr>
            <w:r w:rsidRPr="00BC1774">
              <w:rPr>
                <w:rFonts w:ascii="Arial" w:hAnsi="Arial" w:cs="Arial"/>
                <w:sz w:val="18"/>
              </w:rPr>
              <w:t>2-01</w:t>
            </w:r>
          </w:p>
        </w:tc>
        <w:tc>
          <w:tcPr>
            <w:tcW w:w="2551" w:type="dxa"/>
            <w:vAlign w:val="bottom"/>
          </w:tcPr>
          <w:p w:rsidR="0009094F" w:rsidRPr="00BC1774" w:rsidRDefault="00896D54" w:rsidP="006C400A">
            <w:pPr>
              <w:rPr>
                <w:rFonts w:ascii="Arial" w:hAnsi="Arial" w:cs="Arial"/>
                <w:sz w:val="18"/>
                <w:szCs w:val="16"/>
              </w:rPr>
            </w:pPr>
            <w:r>
              <w:rPr>
                <w:rFonts w:ascii="Arial" w:hAnsi="Arial" w:cs="Arial"/>
                <w:sz w:val="18"/>
                <w:szCs w:val="16"/>
              </w:rPr>
              <w:t>Follow health and safety procedures for scientific or technical a</w:t>
            </w:r>
            <w:r w:rsidR="0009094F" w:rsidRPr="00BC1774">
              <w:rPr>
                <w:rFonts w:ascii="Arial" w:hAnsi="Arial" w:cs="Arial"/>
                <w:sz w:val="18"/>
                <w:szCs w:val="16"/>
              </w:rPr>
              <w:t>ctivities</w:t>
            </w:r>
          </w:p>
        </w:tc>
        <w:tc>
          <w:tcPr>
            <w:tcW w:w="1701" w:type="dxa"/>
          </w:tcPr>
          <w:p w:rsidR="0009094F" w:rsidRPr="00F07A92" w:rsidRDefault="00A36891" w:rsidP="00FD09C4">
            <w:pPr>
              <w:rPr>
                <w:rFonts w:ascii="Arial" w:hAnsi="Arial" w:cs="Arial"/>
              </w:rPr>
            </w:pPr>
            <w:r>
              <w:rPr>
                <w:rFonts w:ascii="Arial" w:hAnsi="Arial" w:cs="Arial"/>
              </w:rPr>
              <w:sym w:font="Symbol" w:char="F0D6"/>
            </w:r>
          </w:p>
        </w:tc>
        <w:tc>
          <w:tcPr>
            <w:tcW w:w="992" w:type="dxa"/>
          </w:tcPr>
          <w:p w:rsidR="0009094F" w:rsidRPr="00F07A92" w:rsidRDefault="0009094F" w:rsidP="00FD09C4">
            <w:pPr>
              <w:rPr>
                <w:rFonts w:ascii="Arial" w:hAnsi="Arial" w:cs="Arial"/>
              </w:rPr>
            </w:pPr>
          </w:p>
        </w:tc>
        <w:tc>
          <w:tcPr>
            <w:tcW w:w="1134" w:type="dxa"/>
          </w:tcPr>
          <w:p w:rsidR="0009094F" w:rsidRPr="00F07A92" w:rsidRDefault="0009094F" w:rsidP="00FD09C4">
            <w:pPr>
              <w:rPr>
                <w:rFonts w:ascii="Arial" w:hAnsi="Arial" w:cs="Arial"/>
              </w:rPr>
            </w:pPr>
          </w:p>
        </w:tc>
        <w:tc>
          <w:tcPr>
            <w:tcW w:w="993" w:type="dxa"/>
          </w:tcPr>
          <w:p w:rsidR="0009094F" w:rsidRPr="00F07A92" w:rsidRDefault="0009094F" w:rsidP="00FD09C4">
            <w:pPr>
              <w:rPr>
                <w:rFonts w:ascii="Arial" w:hAnsi="Arial" w:cs="Arial"/>
              </w:rPr>
            </w:pPr>
          </w:p>
        </w:tc>
        <w:tc>
          <w:tcPr>
            <w:tcW w:w="1275" w:type="dxa"/>
          </w:tcPr>
          <w:p w:rsidR="0009094F" w:rsidRPr="00F07A92" w:rsidRDefault="0009094F" w:rsidP="00FD09C4">
            <w:pPr>
              <w:rPr>
                <w:rFonts w:ascii="Arial" w:hAnsi="Arial" w:cs="Arial"/>
              </w:rPr>
            </w:pPr>
          </w:p>
        </w:tc>
      </w:tr>
      <w:tr w:rsidR="00322E2B" w:rsidRPr="00F07A92" w:rsidTr="00C539FF">
        <w:tc>
          <w:tcPr>
            <w:tcW w:w="1419" w:type="dxa"/>
          </w:tcPr>
          <w:p w:rsidR="0009094F" w:rsidRPr="00BC1774" w:rsidRDefault="0009094F" w:rsidP="00B35924">
            <w:pPr>
              <w:rPr>
                <w:rFonts w:ascii="Arial" w:hAnsi="Arial" w:cs="Arial"/>
                <w:sz w:val="18"/>
              </w:rPr>
            </w:pPr>
            <w:r w:rsidRPr="00BC1774">
              <w:rPr>
                <w:rFonts w:ascii="Arial" w:hAnsi="Arial" w:cs="Arial"/>
                <w:sz w:val="18"/>
              </w:rPr>
              <w:t>SEMBIT</w:t>
            </w:r>
          </w:p>
          <w:p w:rsidR="0009094F" w:rsidRPr="00BC1774" w:rsidRDefault="0009094F" w:rsidP="00B35924">
            <w:pPr>
              <w:rPr>
                <w:rFonts w:ascii="Arial" w:hAnsi="Arial" w:cs="Arial"/>
                <w:sz w:val="18"/>
              </w:rPr>
            </w:pPr>
            <w:r w:rsidRPr="00BC1774">
              <w:rPr>
                <w:rFonts w:ascii="Arial" w:hAnsi="Arial" w:cs="Arial"/>
                <w:sz w:val="18"/>
              </w:rPr>
              <w:t>202</w:t>
            </w:r>
          </w:p>
        </w:tc>
        <w:tc>
          <w:tcPr>
            <w:tcW w:w="2551" w:type="dxa"/>
            <w:vAlign w:val="bottom"/>
          </w:tcPr>
          <w:p w:rsidR="0009094F" w:rsidRPr="00BC1774" w:rsidRDefault="0009094F">
            <w:pPr>
              <w:rPr>
                <w:rFonts w:ascii="Arial" w:hAnsi="Arial" w:cs="Arial"/>
                <w:sz w:val="18"/>
                <w:szCs w:val="16"/>
              </w:rPr>
            </w:pPr>
            <w:r w:rsidRPr="00BC1774">
              <w:rPr>
                <w:rFonts w:ascii="Arial" w:hAnsi="Arial" w:cs="Arial"/>
                <w:sz w:val="18"/>
                <w:szCs w:val="16"/>
              </w:rPr>
              <w:t>Contributing to effective team working</w:t>
            </w:r>
          </w:p>
        </w:tc>
        <w:tc>
          <w:tcPr>
            <w:tcW w:w="1701" w:type="dxa"/>
          </w:tcPr>
          <w:p w:rsidR="0009094F" w:rsidRPr="00F07A92" w:rsidRDefault="00FA501B" w:rsidP="00B35924">
            <w:pPr>
              <w:rPr>
                <w:rFonts w:ascii="Arial" w:hAnsi="Arial" w:cs="Arial"/>
              </w:rPr>
            </w:pPr>
            <w:r>
              <w:rPr>
                <w:rFonts w:ascii="Arial" w:hAnsi="Arial" w:cs="Arial"/>
              </w:rPr>
              <w:sym w:font="Symbol" w:char="F0D6"/>
            </w:r>
          </w:p>
        </w:tc>
        <w:tc>
          <w:tcPr>
            <w:tcW w:w="992" w:type="dxa"/>
          </w:tcPr>
          <w:p w:rsidR="0009094F" w:rsidRPr="00F07A92" w:rsidRDefault="0009094F" w:rsidP="00B35924">
            <w:pPr>
              <w:rPr>
                <w:rFonts w:ascii="Arial" w:hAnsi="Arial" w:cs="Arial"/>
              </w:rPr>
            </w:pPr>
          </w:p>
        </w:tc>
        <w:tc>
          <w:tcPr>
            <w:tcW w:w="1134" w:type="dxa"/>
          </w:tcPr>
          <w:p w:rsidR="0009094F" w:rsidRPr="00F07A92" w:rsidRDefault="0009094F" w:rsidP="00B35924">
            <w:pPr>
              <w:rPr>
                <w:rFonts w:ascii="Arial" w:hAnsi="Arial" w:cs="Arial"/>
              </w:rPr>
            </w:pPr>
          </w:p>
        </w:tc>
        <w:tc>
          <w:tcPr>
            <w:tcW w:w="993" w:type="dxa"/>
          </w:tcPr>
          <w:p w:rsidR="0009094F" w:rsidRPr="00F07A92" w:rsidRDefault="0009094F" w:rsidP="00B35924">
            <w:pPr>
              <w:rPr>
                <w:rFonts w:ascii="Arial" w:hAnsi="Arial" w:cs="Arial"/>
              </w:rPr>
            </w:pPr>
          </w:p>
        </w:tc>
        <w:tc>
          <w:tcPr>
            <w:tcW w:w="1275" w:type="dxa"/>
          </w:tcPr>
          <w:p w:rsidR="0009094F" w:rsidRPr="00F07A92" w:rsidRDefault="00FA501B" w:rsidP="00B35924">
            <w:pPr>
              <w:rPr>
                <w:rFonts w:ascii="Arial" w:hAnsi="Arial" w:cs="Arial"/>
              </w:rPr>
            </w:pPr>
            <w:r>
              <w:rPr>
                <w:rFonts w:ascii="Arial" w:hAnsi="Arial" w:cs="Arial"/>
              </w:rPr>
              <w:sym w:font="Symbol" w:char="F0D6"/>
            </w:r>
          </w:p>
        </w:tc>
      </w:tr>
      <w:tr w:rsidR="00322E2B" w:rsidRPr="00F07A92" w:rsidTr="00C539FF">
        <w:tc>
          <w:tcPr>
            <w:tcW w:w="1419" w:type="dxa"/>
            <w:vAlign w:val="center"/>
          </w:tcPr>
          <w:p w:rsidR="0009094F" w:rsidRPr="00BC1774" w:rsidRDefault="0009094F" w:rsidP="00AE7123">
            <w:pPr>
              <w:rPr>
                <w:rFonts w:ascii="Arial" w:hAnsi="Arial" w:cs="Arial"/>
                <w:sz w:val="18"/>
              </w:rPr>
            </w:pPr>
            <w:r w:rsidRPr="00BC1774">
              <w:rPr>
                <w:rFonts w:ascii="Arial" w:hAnsi="Arial" w:cs="Arial"/>
                <w:sz w:val="18"/>
              </w:rPr>
              <w:t>SEMBIT210</w:t>
            </w:r>
          </w:p>
        </w:tc>
        <w:tc>
          <w:tcPr>
            <w:tcW w:w="2551" w:type="dxa"/>
            <w:vAlign w:val="bottom"/>
          </w:tcPr>
          <w:p w:rsidR="0009094F" w:rsidRPr="00BC1774" w:rsidRDefault="0009094F">
            <w:pPr>
              <w:rPr>
                <w:rFonts w:ascii="Arial" w:hAnsi="Arial" w:cs="Arial"/>
                <w:sz w:val="18"/>
                <w:szCs w:val="16"/>
              </w:rPr>
            </w:pPr>
            <w:r w:rsidRPr="00BC1774">
              <w:rPr>
                <w:rFonts w:ascii="Arial" w:hAnsi="Arial" w:cs="Arial"/>
                <w:sz w:val="18"/>
                <w:szCs w:val="16"/>
              </w:rPr>
              <w:t>Contributing to the application of problem solving techniques</w:t>
            </w:r>
          </w:p>
        </w:tc>
        <w:tc>
          <w:tcPr>
            <w:tcW w:w="1701" w:type="dxa"/>
          </w:tcPr>
          <w:p w:rsidR="0009094F" w:rsidRPr="00F07A92" w:rsidRDefault="00FA501B" w:rsidP="00B35924">
            <w:pPr>
              <w:rPr>
                <w:rFonts w:ascii="Arial" w:hAnsi="Arial" w:cs="Arial"/>
              </w:rPr>
            </w:pPr>
            <w:r>
              <w:rPr>
                <w:rFonts w:ascii="Arial" w:hAnsi="Arial" w:cs="Arial"/>
              </w:rPr>
              <w:sym w:font="Symbol" w:char="F0D6"/>
            </w:r>
          </w:p>
        </w:tc>
        <w:tc>
          <w:tcPr>
            <w:tcW w:w="992" w:type="dxa"/>
          </w:tcPr>
          <w:p w:rsidR="0009094F" w:rsidRPr="00F07A92" w:rsidRDefault="0009094F" w:rsidP="00B35924">
            <w:pPr>
              <w:rPr>
                <w:rFonts w:ascii="Arial" w:hAnsi="Arial" w:cs="Arial"/>
              </w:rPr>
            </w:pPr>
          </w:p>
        </w:tc>
        <w:tc>
          <w:tcPr>
            <w:tcW w:w="1134" w:type="dxa"/>
          </w:tcPr>
          <w:p w:rsidR="0009094F" w:rsidRPr="00F07A92" w:rsidRDefault="0009094F" w:rsidP="00B35924">
            <w:pPr>
              <w:rPr>
                <w:rFonts w:ascii="Arial" w:hAnsi="Arial" w:cs="Arial"/>
              </w:rPr>
            </w:pPr>
          </w:p>
        </w:tc>
        <w:tc>
          <w:tcPr>
            <w:tcW w:w="993" w:type="dxa"/>
          </w:tcPr>
          <w:p w:rsidR="0009094F" w:rsidRPr="00F07A92" w:rsidRDefault="00FA501B" w:rsidP="00B35924">
            <w:pPr>
              <w:rPr>
                <w:rFonts w:ascii="Arial" w:hAnsi="Arial" w:cs="Arial"/>
              </w:rPr>
            </w:pPr>
            <w:r>
              <w:rPr>
                <w:rFonts w:ascii="Arial" w:hAnsi="Arial" w:cs="Arial"/>
              </w:rPr>
              <w:sym w:font="Symbol" w:char="F0D6"/>
            </w:r>
          </w:p>
        </w:tc>
        <w:tc>
          <w:tcPr>
            <w:tcW w:w="1275" w:type="dxa"/>
          </w:tcPr>
          <w:p w:rsidR="0009094F" w:rsidRPr="00F07A92" w:rsidRDefault="00FA501B" w:rsidP="00B35924">
            <w:pPr>
              <w:rPr>
                <w:rFonts w:ascii="Arial" w:hAnsi="Arial" w:cs="Arial"/>
              </w:rPr>
            </w:pPr>
            <w:r>
              <w:rPr>
                <w:rFonts w:ascii="Arial" w:hAnsi="Arial" w:cs="Arial"/>
              </w:rPr>
              <w:sym w:font="Symbol" w:char="F0D6"/>
            </w:r>
          </w:p>
        </w:tc>
      </w:tr>
      <w:tr w:rsidR="00AE7123" w:rsidRPr="00F07A92" w:rsidTr="00C539FF">
        <w:tc>
          <w:tcPr>
            <w:tcW w:w="1419" w:type="dxa"/>
          </w:tcPr>
          <w:p w:rsidR="00AE7123" w:rsidRPr="00BC1774" w:rsidRDefault="00F2209B" w:rsidP="00B35924">
            <w:pPr>
              <w:rPr>
                <w:rFonts w:ascii="Arial" w:hAnsi="Arial" w:cs="Arial"/>
                <w:sz w:val="18"/>
              </w:rPr>
            </w:pPr>
            <w:r w:rsidRPr="00F2209B">
              <w:rPr>
                <w:rFonts w:ascii="Arial" w:hAnsi="Arial" w:cs="Arial"/>
                <w:sz w:val="18"/>
              </w:rPr>
              <w:t>COGPIO2.10</w:t>
            </w:r>
          </w:p>
        </w:tc>
        <w:tc>
          <w:tcPr>
            <w:tcW w:w="2551" w:type="dxa"/>
            <w:vAlign w:val="bottom"/>
          </w:tcPr>
          <w:p w:rsidR="00AE7123" w:rsidRPr="00BC1774" w:rsidRDefault="00215F78">
            <w:pPr>
              <w:rPr>
                <w:rFonts w:ascii="Arial" w:hAnsi="Arial" w:cs="Arial"/>
                <w:sz w:val="18"/>
                <w:szCs w:val="16"/>
              </w:rPr>
            </w:pPr>
            <w:r>
              <w:rPr>
                <w:rFonts w:ascii="Arial" w:hAnsi="Arial" w:cs="Arial"/>
                <w:sz w:val="18"/>
                <w:szCs w:val="16"/>
              </w:rPr>
              <w:t>Clean and prepare complex items of plant and equipment for production in processing industries o</w:t>
            </w:r>
            <w:r w:rsidR="00F2209B" w:rsidRPr="00F2209B">
              <w:rPr>
                <w:rFonts w:ascii="Arial" w:hAnsi="Arial" w:cs="Arial"/>
                <w:sz w:val="18"/>
                <w:szCs w:val="16"/>
              </w:rPr>
              <w:t>perations</w:t>
            </w:r>
          </w:p>
        </w:tc>
        <w:tc>
          <w:tcPr>
            <w:tcW w:w="1701" w:type="dxa"/>
          </w:tcPr>
          <w:p w:rsidR="00AE7123" w:rsidRPr="00F07A92" w:rsidRDefault="00F2209B" w:rsidP="00B35924">
            <w:pPr>
              <w:rPr>
                <w:rFonts w:ascii="Arial" w:hAnsi="Arial" w:cs="Arial"/>
              </w:rPr>
            </w:pPr>
            <w:r>
              <w:rPr>
                <w:rFonts w:ascii="Arial" w:hAnsi="Arial" w:cs="Arial"/>
              </w:rPr>
              <w:sym w:font="Symbol" w:char="F0D6"/>
            </w:r>
          </w:p>
        </w:tc>
        <w:tc>
          <w:tcPr>
            <w:tcW w:w="992" w:type="dxa"/>
          </w:tcPr>
          <w:p w:rsidR="00AE7123" w:rsidRPr="00F07A92" w:rsidRDefault="00AE7123" w:rsidP="00B35924">
            <w:pPr>
              <w:rPr>
                <w:rFonts w:ascii="Arial" w:hAnsi="Arial" w:cs="Arial"/>
              </w:rPr>
            </w:pPr>
          </w:p>
        </w:tc>
        <w:tc>
          <w:tcPr>
            <w:tcW w:w="1134" w:type="dxa"/>
          </w:tcPr>
          <w:p w:rsidR="00AE7123" w:rsidRPr="00F07A92" w:rsidRDefault="00AE7123" w:rsidP="00B35924">
            <w:pPr>
              <w:rPr>
                <w:rFonts w:ascii="Arial" w:hAnsi="Arial" w:cs="Arial"/>
              </w:rPr>
            </w:pPr>
          </w:p>
        </w:tc>
        <w:tc>
          <w:tcPr>
            <w:tcW w:w="993" w:type="dxa"/>
          </w:tcPr>
          <w:p w:rsidR="00AE7123" w:rsidRPr="00F07A92" w:rsidRDefault="00F2209B" w:rsidP="00B35924">
            <w:pPr>
              <w:rPr>
                <w:rFonts w:ascii="Arial" w:hAnsi="Arial" w:cs="Arial"/>
              </w:rPr>
            </w:pPr>
            <w:r>
              <w:rPr>
                <w:rFonts w:ascii="Arial" w:hAnsi="Arial" w:cs="Arial"/>
              </w:rPr>
              <w:sym w:font="Symbol" w:char="F0D6"/>
            </w:r>
          </w:p>
        </w:tc>
        <w:tc>
          <w:tcPr>
            <w:tcW w:w="1275" w:type="dxa"/>
          </w:tcPr>
          <w:p w:rsidR="00AE7123" w:rsidRPr="00F07A92" w:rsidRDefault="00AE7123" w:rsidP="00B35924">
            <w:pPr>
              <w:rPr>
                <w:rFonts w:ascii="Arial" w:hAnsi="Arial" w:cs="Arial"/>
              </w:rPr>
            </w:pPr>
          </w:p>
        </w:tc>
      </w:tr>
      <w:tr w:rsidR="006E6067" w:rsidRPr="00F07A92" w:rsidTr="00C539FF">
        <w:tc>
          <w:tcPr>
            <w:tcW w:w="1419" w:type="dxa"/>
            <w:vAlign w:val="center"/>
          </w:tcPr>
          <w:p w:rsidR="006E6067" w:rsidRPr="00BC1774" w:rsidRDefault="006E6067" w:rsidP="00AE7123">
            <w:pPr>
              <w:rPr>
                <w:rFonts w:ascii="Arial" w:hAnsi="Arial" w:cs="Arial"/>
                <w:sz w:val="18"/>
              </w:rPr>
            </w:pPr>
            <w:r w:rsidRPr="00BC1774">
              <w:rPr>
                <w:rFonts w:ascii="Arial" w:hAnsi="Arial" w:cs="Arial"/>
                <w:sz w:val="18"/>
              </w:rPr>
              <w:t>COGPIO2.6</w:t>
            </w:r>
          </w:p>
        </w:tc>
        <w:tc>
          <w:tcPr>
            <w:tcW w:w="2551" w:type="dxa"/>
            <w:vAlign w:val="bottom"/>
          </w:tcPr>
          <w:p w:rsidR="006E6067" w:rsidRPr="00BC1774" w:rsidRDefault="00896D54">
            <w:pPr>
              <w:rPr>
                <w:rFonts w:ascii="Arial" w:hAnsi="Arial" w:cs="Arial"/>
                <w:sz w:val="18"/>
                <w:szCs w:val="16"/>
              </w:rPr>
            </w:pPr>
            <w:r>
              <w:rPr>
                <w:rFonts w:ascii="Arial" w:hAnsi="Arial" w:cs="Arial"/>
                <w:sz w:val="18"/>
                <w:szCs w:val="16"/>
              </w:rPr>
              <w:t>Control, monitor and adjust the processing operation in processing industries o</w:t>
            </w:r>
            <w:r w:rsidR="006E6067" w:rsidRPr="00BC1774">
              <w:rPr>
                <w:rFonts w:ascii="Arial" w:hAnsi="Arial" w:cs="Arial"/>
                <w:sz w:val="18"/>
                <w:szCs w:val="16"/>
              </w:rPr>
              <w:t>perations</w:t>
            </w:r>
          </w:p>
        </w:tc>
        <w:tc>
          <w:tcPr>
            <w:tcW w:w="1701" w:type="dxa"/>
          </w:tcPr>
          <w:p w:rsidR="006E6067" w:rsidRPr="00F07A92" w:rsidRDefault="006E6067" w:rsidP="00B35924">
            <w:pPr>
              <w:rPr>
                <w:rFonts w:ascii="Arial" w:hAnsi="Arial" w:cs="Arial"/>
              </w:rPr>
            </w:pPr>
            <w:r>
              <w:rPr>
                <w:rFonts w:ascii="Arial" w:hAnsi="Arial" w:cs="Arial"/>
              </w:rPr>
              <w:sym w:font="Symbol" w:char="F0D6"/>
            </w:r>
          </w:p>
        </w:tc>
        <w:tc>
          <w:tcPr>
            <w:tcW w:w="992" w:type="dxa"/>
          </w:tcPr>
          <w:p w:rsidR="006E6067" w:rsidRPr="00F07A92" w:rsidRDefault="006E6067" w:rsidP="00B35924">
            <w:pPr>
              <w:rPr>
                <w:rFonts w:ascii="Arial" w:hAnsi="Arial" w:cs="Arial"/>
              </w:rPr>
            </w:pPr>
          </w:p>
        </w:tc>
        <w:tc>
          <w:tcPr>
            <w:tcW w:w="1134" w:type="dxa"/>
          </w:tcPr>
          <w:p w:rsidR="006E6067" w:rsidRDefault="006E6067">
            <w:r w:rsidRPr="00A24D43">
              <w:rPr>
                <w:rFonts w:ascii="Arial" w:hAnsi="Arial" w:cs="Arial"/>
              </w:rPr>
              <w:sym w:font="Symbol" w:char="F0D6"/>
            </w:r>
          </w:p>
        </w:tc>
        <w:tc>
          <w:tcPr>
            <w:tcW w:w="993" w:type="dxa"/>
          </w:tcPr>
          <w:p w:rsidR="006E6067" w:rsidRDefault="006E6067">
            <w:r w:rsidRPr="00A24D43">
              <w:rPr>
                <w:rFonts w:ascii="Arial" w:hAnsi="Arial" w:cs="Arial"/>
              </w:rPr>
              <w:sym w:font="Symbol" w:char="F0D6"/>
            </w:r>
          </w:p>
        </w:tc>
        <w:tc>
          <w:tcPr>
            <w:tcW w:w="1275" w:type="dxa"/>
          </w:tcPr>
          <w:p w:rsidR="006E6067" w:rsidRPr="00F07A92" w:rsidRDefault="006E6067" w:rsidP="00B35924">
            <w:pPr>
              <w:rPr>
                <w:rFonts w:ascii="Arial" w:hAnsi="Arial" w:cs="Arial"/>
              </w:rPr>
            </w:pPr>
          </w:p>
        </w:tc>
      </w:tr>
      <w:tr w:rsidR="006E6067" w:rsidRPr="00F07A92" w:rsidTr="00C539FF">
        <w:tc>
          <w:tcPr>
            <w:tcW w:w="1419" w:type="dxa"/>
            <w:vAlign w:val="center"/>
          </w:tcPr>
          <w:p w:rsidR="006E6067" w:rsidRPr="00BC1774" w:rsidRDefault="006E6067" w:rsidP="00AE7123">
            <w:pPr>
              <w:rPr>
                <w:rFonts w:ascii="Arial" w:hAnsi="Arial" w:cs="Arial"/>
                <w:sz w:val="18"/>
              </w:rPr>
            </w:pPr>
            <w:r w:rsidRPr="00BC1774">
              <w:rPr>
                <w:rFonts w:ascii="Arial" w:hAnsi="Arial" w:cs="Arial"/>
                <w:sz w:val="18"/>
              </w:rPr>
              <w:t>COGPIO2.9</w:t>
            </w:r>
          </w:p>
        </w:tc>
        <w:tc>
          <w:tcPr>
            <w:tcW w:w="2551" w:type="dxa"/>
            <w:vAlign w:val="bottom"/>
          </w:tcPr>
          <w:p w:rsidR="006E6067" w:rsidRPr="00BC1774" w:rsidRDefault="00896D54">
            <w:pPr>
              <w:rPr>
                <w:rFonts w:ascii="Arial" w:hAnsi="Arial" w:cs="Arial"/>
                <w:sz w:val="18"/>
                <w:szCs w:val="16"/>
              </w:rPr>
            </w:pPr>
            <w:r>
              <w:rPr>
                <w:rFonts w:ascii="Arial" w:hAnsi="Arial" w:cs="Arial"/>
                <w:sz w:val="18"/>
                <w:szCs w:val="16"/>
              </w:rPr>
              <w:t xml:space="preserve">Separate </w:t>
            </w:r>
            <w:r w:rsidR="00563949">
              <w:rPr>
                <w:rFonts w:ascii="Arial" w:hAnsi="Arial" w:cs="Arial"/>
                <w:sz w:val="18"/>
                <w:szCs w:val="16"/>
              </w:rPr>
              <w:t>and dispose of processing m</w:t>
            </w:r>
            <w:r w:rsidR="00215F78">
              <w:rPr>
                <w:rFonts w:ascii="Arial" w:hAnsi="Arial" w:cs="Arial"/>
                <w:sz w:val="18"/>
                <w:szCs w:val="16"/>
              </w:rPr>
              <w:t xml:space="preserve">aterials, </w:t>
            </w:r>
            <w:proofErr w:type="spellStart"/>
            <w:r w:rsidR="00215F78">
              <w:rPr>
                <w:rFonts w:ascii="Arial" w:hAnsi="Arial" w:cs="Arial"/>
                <w:sz w:val="18"/>
                <w:szCs w:val="16"/>
              </w:rPr>
              <w:t>by</w:t>
            </w:r>
            <w:r w:rsidR="00563949" w:rsidRPr="00BC1774">
              <w:rPr>
                <w:rFonts w:ascii="Arial" w:hAnsi="Arial" w:cs="Arial"/>
                <w:sz w:val="18"/>
                <w:szCs w:val="16"/>
              </w:rPr>
              <w:t>products</w:t>
            </w:r>
            <w:proofErr w:type="spellEnd"/>
            <w:r w:rsidR="00563949" w:rsidRPr="00BC1774">
              <w:rPr>
                <w:rFonts w:ascii="Arial" w:hAnsi="Arial" w:cs="Arial"/>
                <w:sz w:val="18"/>
                <w:szCs w:val="16"/>
              </w:rPr>
              <w:t xml:space="preserve"> and wastes in processing industries operations</w:t>
            </w:r>
          </w:p>
        </w:tc>
        <w:tc>
          <w:tcPr>
            <w:tcW w:w="1701" w:type="dxa"/>
          </w:tcPr>
          <w:p w:rsidR="006E6067" w:rsidRPr="00F07A92" w:rsidRDefault="006E6067" w:rsidP="00523FAF">
            <w:pPr>
              <w:rPr>
                <w:rFonts w:ascii="Arial" w:hAnsi="Arial" w:cs="Arial"/>
              </w:rPr>
            </w:pPr>
            <w:r>
              <w:rPr>
                <w:rFonts w:ascii="Arial" w:hAnsi="Arial" w:cs="Arial"/>
              </w:rPr>
              <w:sym w:font="Symbol" w:char="F0D6"/>
            </w:r>
          </w:p>
        </w:tc>
        <w:tc>
          <w:tcPr>
            <w:tcW w:w="992" w:type="dxa"/>
          </w:tcPr>
          <w:p w:rsidR="006E6067" w:rsidRPr="00F07A92" w:rsidRDefault="006E6067" w:rsidP="00523FAF">
            <w:pPr>
              <w:rPr>
                <w:rFonts w:ascii="Arial" w:hAnsi="Arial" w:cs="Arial"/>
              </w:rPr>
            </w:pPr>
          </w:p>
        </w:tc>
        <w:tc>
          <w:tcPr>
            <w:tcW w:w="1134" w:type="dxa"/>
          </w:tcPr>
          <w:p w:rsidR="006E6067" w:rsidRDefault="006E6067" w:rsidP="00523FAF"/>
        </w:tc>
        <w:tc>
          <w:tcPr>
            <w:tcW w:w="993" w:type="dxa"/>
          </w:tcPr>
          <w:p w:rsidR="006E6067" w:rsidRDefault="006E6067" w:rsidP="00523FAF">
            <w:r w:rsidRPr="00A24D43">
              <w:rPr>
                <w:rFonts w:ascii="Arial" w:hAnsi="Arial" w:cs="Arial"/>
              </w:rPr>
              <w:sym w:font="Symbol" w:char="F0D6"/>
            </w:r>
          </w:p>
        </w:tc>
        <w:tc>
          <w:tcPr>
            <w:tcW w:w="1275" w:type="dxa"/>
          </w:tcPr>
          <w:p w:rsidR="006E6067" w:rsidRPr="00F07A92" w:rsidRDefault="006E6067" w:rsidP="00B35924">
            <w:pPr>
              <w:rPr>
                <w:rFonts w:ascii="Arial" w:hAnsi="Arial" w:cs="Arial"/>
              </w:rPr>
            </w:pPr>
          </w:p>
        </w:tc>
      </w:tr>
      <w:tr w:rsidR="00F2209B" w:rsidRPr="00F07A92" w:rsidTr="00C539FF">
        <w:tc>
          <w:tcPr>
            <w:tcW w:w="1419" w:type="dxa"/>
            <w:vAlign w:val="center"/>
          </w:tcPr>
          <w:p w:rsidR="00F2209B" w:rsidRPr="00BC1774" w:rsidRDefault="00F2209B" w:rsidP="00AE7123">
            <w:pPr>
              <w:rPr>
                <w:rFonts w:ascii="Arial" w:hAnsi="Arial" w:cs="Arial"/>
                <w:sz w:val="18"/>
              </w:rPr>
            </w:pPr>
          </w:p>
        </w:tc>
        <w:tc>
          <w:tcPr>
            <w:tcW w:w="2551" w:type="dxa"/>
            <w:vAlign w:val="bottom"/>
          </w:tcPr>
          <w:p w:rsidR="00F2209B" w:rsidRDefault="00F2209B">
            <w:pPr>
              <w:rPr>
                <w:rFonts w:ascii="Arial" w:hAnsi="Arial" w:cs="Arial"/>
                <w:sz w:val="18"/>
                <w:szCs w:val="16"/>
              </w:rPr>
            </w:pPr>
          </w:p>
        </w:tc>
        <w:tc>
          <w:tcPr>
            <w:tcW w:w="1701" w:type="dxa"/>
          </w:tcPr>
          <w:p w:rsidR="00F2209B" w:rsidRDefault="00F2209B" w:rsidP="00523FAF">
            <w:pPr>
              <w:rPr>
                <w:rFonts w:ascii="Arial" w:hAnsi="Arial" w:cs="Arial"/>
              </w:rPr>
            </w:pPr>
          </w:p>
        </w:tc>
        <w:tc>
          <w:tcPr>
            <w:tcW w:w="992" w:type="dxa"/>
          </w:tcPr>
          <w:p w:rsidR="00F2209B" w:rsidRPr="00F07A92" w:rsidRDefault="00F2209B" w:rsidP="00523FAF">
            <w:pPr>
              <w:rPr>
                <w:rFonts w:ascii="Arial" w:hAnsi="Arial" w:cs="Arial"/>
              </w:rPr>
            </w:pPr>
          </w:p>
        </w:tc>
        <w:tc>
          <w:tcPr>
            <w:tcW w:w="1134" w:type="dxa"/>
          </w:tcPr>
          <w:p w:rsidR="00F2209B" w:rsidRDefault="00F2209B" w:rsidP="00523FAF"/>
        </w:tc>
        <w:tc>
          <w:tcPr>
            <w:tcW w:w="993" w:type="dxa"/>
          </w:tcPr>
          <w:p w:rsidR="00F2209B" w:rsidRPr="00A24D43" w:rsidRDefault="00F2209B" w:rsidP="00523FAF">
            <w:pPr>
              <w:rPr>
                <w:rFonts w:ascii="Arial" w:hAnsi="Arial" w:cs="Arial"/>
              </w:rPr>
            </w:pPr>
          </w:p>
        </w:tc>
        <w:tc>
          <w:tcPr>
            <w:tcW w:w="1275" w:type="dxa"/>
          </w:tcPr>
          <w:p w:rsidR="00F2209B" w:rsidRPr="00F07A92" w:rsidRDefault="00F2209B" w:rsidP="00B35924">
            <w:pPr>
              <w:rPr>
                <w:rFonts w:ascii="Arial" w:hAnsi="Arial" w:cs="Arial"/>
              </w:rPr>
            </w:pPr>
          </w:p>
        </w:tc>
      </w:tr>
      <w:tr w:rsidR="008F51FE" w:rsidRPr="00F07A92" w:rsidTr="00C539FF">
        <w:tc>
          <w:tcPr>
            <w:tcW w:w="1419" w:type="dxa"/>
            <w:vAlign w:val="center"/>
          </w:tcPr>
          <w:p w:rsidR="008F51FE" w:rsidRPr="00BC1774" w:rsidRDefault="008F51FE" w:rsidP="00AE7123">
            <w:pPr>
              <w:rPr>
                <w:rFonts w:ascii="Arial" w:hAnsi="Arial" w:cs="Arial"/>
                <w:sz w:val="18"/>
              </w:rPr>
            </w:pPr>
            <w:r w:rsidRPr="00BC1774">
              <w:rPr>
                <w:rFonts w:ascii="Arial" w:hAnsi="Arial" w:cs="Arial"/>
                <w:sz w:val="18"/>
              </w:rPr>
              <w:t>COGWT17</w:t>
            </w:r>
          </w:p>
        </w:tc>
        <w:tc>
          <w:tcPr>
            <w:tcW w:w="2551" w:type="dxa"/>
            <w:vAlign w:val="bottom"/>
          </w:tcPr>
          <w:p w:rsidR="008F51FE" w:rsidRPr="00BC1774" w:rsidRDefault="008F51FE">
            <w:pPr>
              <w:rPr>
                <w:rFonts w:ascii="Arial" w:hAnsi="Arial" w:cs="Arial"/>
                <w:sz w:val="18"/>
                <w:szCs w:val="16"/>
              </w:rPr>
            </w:pPr>
            <w:r w:rsidRPr="00BC1774">
              <w:rPr>
                <w:rFonts w:ascii="Arial" w:hAnsi="Arial" w:cs="Arial"/>
                <w:sz w:val="18"/>
                <w:szCs w:val="16"/>
              </w:rPr>
              <w:t>Dose chemicals to water systems</w:t>
            </w:r>
          </w:p>
        </w:tc>
        <w:tc>
          <w:tcPr>
            <w:tcW w:w="1701" w:type="dxa"/>
          </w:tcPr>
          <w:p w:rsidR="008F51FE" w:rsidRPr="00F07A92" w:rsidRDefault="008F51FE" w:rsidP="00523FAF">
            <w:pPr>
              <w:rPr>
                <w:rFonts w:ascii="Arial" w:hAnsi="Arial" w:cs="Arial"/>
              </w:rPr>
            </w:pPr>
            <w:r>
              <w:rPr>
                <w:rFonts w:ascii="Arial" w:hAnsi="Arial" w:cs="Arial"/>
              </w:rPr>
              <w:sym w:font="Symbol" w:char="F0D6"/>
            </w:r>
          </w:p>
        </w:tc>
        <w:tc>
          <w:tcPr>
            <w:tcW w:w="992" w:type="dxa"/>
          </w:tcPr>
          <w:p w:rsidR="008F51FE" w:rsidRPr="00F07A92" w:rsidRDefault="008F51FE" w:rsidP="00523FAF">
            <w:pPr>
              <w:rPr>
                <w:rFonts w:ascii="Arial" w:hAnsi="Arial" w:cs="Arial"/>
              </w:rPr>
            </w:pPr>
          </w:p>
        </w:tc>
        <w:tc>
          <w:tcPr>
            <w:tcW w:w="1134" w:type="dxa"/>
          </w:tcPr>
          <w:p w:rsidR="008F51FE" w:rsidRDefault="008F51FE" w:rsidP="00523FAF"/>
        </w:tc>
        <w:tc>
          <w:tcPr>
            <w:tcW w:w="993" w:type="dxa"/>
          </w:tcPr>
          <w:p w:rsidR="008F51FE" w:rsidRDefault="008F51FE" w:rsidP="00523FAF">
            <w:r w:rsidRPr="00A24D43">
              <w:rPr>
                <w:rFonts w:ascii="Arial" w:hAnsi="Arial" w:cs="Arial"/>
              </w:rPr>
              <w:sym w:font="Symbol" w:char="F0D6"/>
            </w:r>
          </w:p>
        </w:tc>
        <w:tc>
          <w:tcPr>
            <w:tcW w:w="1275" w:type="dxa"/>
          </w:tcPr>
          <w:p w:rsidR="008F51FE" w:rsidRPr="00F07A92" w:rsidRDefault="008F51FE" w:rsidP="00B35924">
            <w:pPr>
              <w:rPr>
                <w:rFonts w:ascii="Arial" w:hAnsi="Arial" w:cs="Arial"/>
              </w:rPr>
            </w:pPr>
          </w:p>
        </w:tc>
      </w:tr>
      <w:tr w:rsidR="008F51FE" w:rsidRPr="00F07A92" w:rsidTr="00C539FF">
        <w:tc>
          <w:tcPr>
            <w:tcW w:w="1419" w:type="dxa"/>
            <w:vAlign w:val="center"/>
          </w:tcPr>
          <w:p w:rsidR="008F51FE" w:rsidRPr="00BC1774" w:rsidRDefault="008F51FE" w:rsidP="00AE7123">
            <w:pPr>
              <w:rPr>
                <w:rFonts w:ascii="Arial" w:hAnsi="Arial" w:cs="Arial"/>
                <w:sz w:val="18"/>
              </w:rPr>
            </w:pPr>
            <w:r w:rsidRPr="00BC1774">
              <w:rPr>
                <w:rFonts w:ascii="Arial" w:hAnsi="Arial" w:cs="Arial"/>
                <w:sz w:val="18"/>
              </w:rPr>
              <w:t>COGWT1</w:t>
            </w:r>
          </w:p>
        </w:tc>
        <w:tc>
          <w:tcPr>
            <w:tcW w:w="2551" w:type="dxa"/>
            <w:vAlign w:val="bottom"/>
          </w:tcPr>
          <w:p w:rsidR="008F51FE" w:rsidRPr="00BC1774" w:rsidRDefault="008F51FE">
            <w:pPr>
              <w:rPr>
                <w:rFonts w:ascii="Arial" w:hAnsi="Arial" w:cs="Arial"/>
                <w:sz w:val="18"/>
                <w:szCs w:val="16"/>
              </w:rPr>
            </w:pPr>
            <w:r w:rsidRPr="00BC1774">
              <w:rPr>
                <w:rFonts w:ascii="Arial" w:hAnsi="Arial" w:cs="Arial"/>
                <w:sz w:val="18"/>
                <w:szCs w:val="16"/>
              </w:rPr>
              <w:t>Adjust dosing and control equipment</w:t>
            </w:r>
          </w:p>
        </w:tc>
        <w:tc>
          <w:tcPr>
            <w:tcW w:w="1701" w:type="dxa"/>
          </w:tcPr>
          <w:p w:rsidR="008F51FE" w:rsidRPr="00F07A92" w:rsidRDefault="008F51FE" w:rsidP="00523FAF">
            <w:pPr>
              <w:rPr>
                <w:rFonts w:ascii="Arial" w:hAnsi="Arial" w:cs="Arial"/>
              </w:rPr>
            </w:pPr>
            <w:r>
              <w:rPr>
                <w:rFonts w:ascii="Arial" w:hAnsi="Arial" w:cs="Arial"/>
              </w:rPr>
              <w:sym w:font="Symbol" w:char="F0D6"/>
            </w:r>
          </w:p>
        </w:tc>
        <w:tc>
          <w:tcPr>
            <w:tcW w:w="992" w:type="dxa"/>
          </w:tcPr>
          <w:p w:rsidR="008F51FE" w:rsidRPr="00F07A92" w:rsidRDefault="008F51FE" w:rsidP="00523FAF">
            <w:pPr>
              <w:rPr>
                <w:rFonts w:ascii="Arial" w:hAnsi="Arial" w:cs="Arial"/>
              </w:rPr>
            </w:pPr>
          </w:p>
        </w:tc>
        <w:tc>
          <w:tcPr>
            <w:tcW w:w="1134" w:type="dxa"/>
          </w:tcPr>
          <w:p w:rsidR="008F51FE" w:rsidRDefault="008F51FE" w:rsidP="00523FAF"/>
        </w:tc>
        <w:tc>
          <w:tcPr>
            <w:tcW w:w="993" w:type="dxa"/>
          </w:tcPr>
          <w:p w:rsidR="008F51FE" w:rsidRDefault="008F51FE" w:rsidP="00523FAF">
            <w:r w:rsidRPr="00A24D43">
              <w:rPr>
                <w:rFonts w:ascii="Arial" w:hAnsi="Arial" w:cs="Arial"/>
              </w:rPr>
              <w:sym w:font="Symbol" w:char="F0D6"/>
            </w:r>
          </w:p>
        </w:tc>
        <w:tc>
          <w:tcPr>
            <w:tcW w:w="1275" w:type="dxa"/>
          </w:tcPr>
          <w:p w:rsidR="008F51FE" w:rsidRPr="00F07A92" w:rsidRDefault="008F51FE" w:rsidP="00B35924">
            <w:pPr>
              <w:rPr>
                <w:rFonts w:ascii="Arial" w:hAnsi="Arial" w:cs="Arial"/>
              </w:rPr>
            </w:pPr>
          </w:p>
        </w:tc>
      </w:tr>
      <w:tr w:rsidR="008F51FE" w:rsidRPr="00F07A92" w:rsidTr="00C539FF">
        <w:trPr>
          <w:trHeight w:val="724"/>
        </w:trPr>
        <w:tc>
          <w:tcPr>
            <w:tcW w:w="1419" w:type="dxa"/>
            <w:vAlign w:val="center"/>
          </w:tcPr>
          <w:p w:rsidR="008F51FE" w:rsidRPr="00BC1774" w:rsidRDefault="008F51FE" w:rsidP="00AE7123">
            <w:pPr>
              <w:rPr>
                <w:rFonts w:ascii="Arial" w:hAnsi="Arial" w:cs="Arial"/>
                <w:sz w:val="18"/>
              </w:rPr>
            </w:pPr>
            <w:r w:rsidRPr="00BC1774">
              <w:rPr>
                <w:rFonts w:ascii="Arial" w:hAnsi="Arial" w:cs="Arial"/>
                <w:sz w:val="18"/>
              </w:rPr>
              <w:t>COGPIO2.16</w:t>
            </w:r>
          </w:p>
        </w:tc>
        <w:tc>
          <w:tcPr>
            <w:tcW w:w="2551" w:type="dxa"/>
            <w:vAlign w:val="bottom"/>
          </w:tcPr>
          <w:p w:rsidR="008F51FE" w:rsidRPr="00BC1774" w:rsidRDefault="008F51FE">
            <w:pPr>
              <w:rPr>
                <w:rFonts w:ascii="Arial" w:hAnsi="Arial" w:cs="Arial"/>
                <w:sz w:val="18"/>
                <w:szCs w:val="16"/>
              </w:rPr>
            </w:pPr>
            <w:r w:rsidRPr="00BC1774">
              <w:rPr>
                <w:rFonts w:ascii="Arial" w:hAnsi="Arial" w:cs="Arial"/>
                <w:sz w:val="18"/>
                <w:szCs w:val="16"/>
              </w:rPr>
              <w:t>Maintain the condition of engineering assets in processing industries</w:t>
            </w:r>
            <w:r w:rsidR="00215F78">
              <w:rPr>
                <w:rFonts w:ascii="Arial" w:hAnsi="Arial" w:cs="Arial"/>
                <w:sz w:val="18"/>
                <w:szCs w:val="16"/>
              </w:rPr>
              <w:t xml:space="preserve"> operations</w:t>
            </w:r>
          </w:p>
        </w:tc>
        <w:tc>
          <w:tcPr>
            <w:tcW w:w="1701" w:type="dxa"/>
          </w:tcPr>
          <w:p w:rsidR="008F51FE" w:rsidRPr="00F07A92" w:rsidRDefault="008F51FE" w:rsidP="00B35924">
            <w:pPr>
              <w:rPr>
                <w:rFonts w:ascii="Arial" w:hAnsi="Arial" w:cs="Arial"/>
              </w:rPr>
            </w:pPr>
            <w:r>
              <w:rPr>
                <w:rFonts w:ascii="Arial" w:hAnsi="Arial" w:cs="Arial"/>
              </w:rPr>
              <w:sym w:font="Symbol" w:char="F0D6"/>
            </w:r>
          </w:p>
        </w:tc>
        <w:tc>
          <w:tcPr>
            <w:tcW w:w="992" w:type="dxa"/>
          </w:tcPr>
          <w:p w:rsidR="008F51FE" w:rsidRPr="00F07A92" w:rsidRDefault="008F51FE" w:rsidP="00B35924">
            <w:pPr>
              <w:rPr>
                <w:rFonts w:ascii="Arial" w:hAnsi="Arial" w:cs="Arial"/>
              </w:rPr>
            </w:pPr>
          </w:p>
        </w:tc>
        <w:tc>
          <w:tcPr>
            <w:tcW w:w="1134" w:type="dxa"/>
          </w:tcPr>
          <w:p w:rsidR="008F51FE" w:rsidRPr="00F07A92" w:rsidRDefault="008F51FE" w:rsidP="00B35924">
            <w:pPr>
              <w:rPr>
                <w:rFonts w:ascii="Arial" w:hAnsi="Arial" w:cs="Arial"/>
              </w:rPr>
            </w:pPr>
          </w:p>
        </w:tc>
        <w:tc>
          <w:tcPr>
            <w:tcW w:w="993" w:type="dxa"/>
          </w:tcPr>
          <w:p w:rsidR="008F51FE" w:rsidRPr="00F07A92" w:rsidRDefault="008F51FE" w:rsidP="00B35924">
            <w:pPr>
              <w:rPr>
                <w:rFonts w:ascii="Arial" w:hAnsi="Arial" w:cs="Arial"/>
              </w:rPr>
            </w:pPr>
            <w:r>
              <w:rPr>
                <w:rFonts w:ascii="Arial" w:hAnsi="Arial" w:cs="Arial"/>
              </w:rPr>
              <w:sym w:font="Symbol" w:char="F0D6"/>
            </w:r>
          </w:p>
        </w:tc>
        <w:tc>
          <w:tcPr>
            <w:tcW w:w="1275" w:type="dxa"/>
          </w:tcPr>
          <w:p w:rsidR="008F51FE" w:rsidRPr="00F07A92" w:rsidRDefault="008F51FE" w:rsidP="00B35924">
            <w:pPr>
              <w:rPr>
                <w:rFonts w:ascii="Arial" w:hAnsi="Arial" w:cs="Arial"/>
              </w:rPr>
            </w:pPr>
          </w:p>
        </w:tc>
      </w:tr>
      <w:tr w:rsidR="008F51FE" w:rsidRPr="00F07A92" w:rsidTr="00C539FF">
        <w:tc>
          <w:tcPr>
            <w:tcW w:w="1419" w:type="dxa"/>
          </w:tcPr>
          <w:p w:rsidR="008F51FE" w:rsidRPr="00BC1774" w:rsidRDefault="008F51FE" w:rsidP="00B35924">
            <w:pPr>
              <w:rPr>
                <w:rFonts w:ascii="Arial" w:hAnsi="Arial" w:cs="Arial"/>
                <w:sz w:val="18"/>
              </w:rPr>
            </w:pPr>
          </w:p>
        </w:tc>
        <w:tc>
          <w:tcPr>
            <w:tcW w:w="2551" w:type="dxa"/>
            <w:vAlign w:val="bottom"/>
          </w:tcPr>
          <w:p w:rsidR="008F51FE" w:rsidRPr="00BC1774" w:rsidRDefault="008F51FE">
            <w:pPr>
              <w:rPr>
                <w:rFonts w:ascii="Arial" w:hAnsi="Arial" w:cs="Arial"/>
                <w:sz w:val="18"/>
                <w:szCs w:val="16"/>
              </w:rPr>
            </w:pPr>
          </w:p>
        </w:tc>
        <w:tc>
          <w:tcPr>
            <w:tcW w:w="1701" w:type="dxa"/>
          </w:tcPr>
          <w:p w:rsidR="008F51FE" w:rsidRPr="00F07A92" w:rsidRDefault="008F51FE" w:rsidP="00B35924">
            <w:pPr>
              <w:rPr>
                <w:rFonts w:ascii="Arial" w:hAnsi="Arial" w:cs="Arial"/>
              </w:rPr>
            </w:pPr>
          </w:p>
        </w:tc>
        <w:tc>
          <w:tcPr>
            <w:tcW w:w="992" w:type="dxa"/>
          </w:tcPr>
          <w:p w:rsidR="008F51FE" w:rsidRPr="00F07A92" w:rsidRDefault="008F51FE" w:rsidP="00B35924">
            <w:pPr>
              <w:rPr>
                <w:rFonts w:ascii="Arial" w:hAnsi="Arial" w:cs="Arial"/>
              </w:rPr>
            </w:pPr>
          </w:p>
        </w:tc>
        <w:tc>
          <w:tcPr>
            <w:tcW w:w="1134" w:type="dxa"/>
          </w:tcPr>
          <w:p w:rsidR="008F51FE" w:rsidRPr="00F07A92" w:rsidRDefault="008F51FE" w:rsidP="00B35924">
            <w:pPr>
              <w:rPr>
                <w:rFonts w:ascii="Arial" w:hAnsi="Arial" w:cs="Arial"/>
              </w:rPr>
            </w:pPr>
          </w:p>
        </w:tc>
        <w:tc>
          <w:tcPr>
            <w:tcW w:w="993" w:type="dxa"/>
          </w:tcPr>
          <w:p w:rsidR="008F51FE" w:rsidRPr="00F07A92" w:rsidRDefault="008F51FE" w:rsidP="00B35924">
            <w:pPr>
              <w:rPr>
                <w:rFonts w:ascii="Arial" w:hAnsi="Arial" w:cs="Arial"/>
              </w:rPr>
            </w:pPr>
          </w:p>
        </w:tc>
        <w:tc>
          <w:tcPr>
            <w:tcW w:w="1275" w:type="dxa"/>
          </w:tcPr>
          <w:p w:rsidR="008F51FE" w:rsidRPr="00F07A92" w:rsidRDefault="008F51FE" w:rsidP="00B35924">
            <w:pPr>
              <w:rPr>
                <w:rFonts w:ascii="Arial" w:hAnsi="Arial" w:cs="Arial"/>
              </w:rPr>
            </w:pPr>
          </w:p>
        </w:tc>
      </w:tr>
      <w:tr w:rsidR="008F51FE" w:rsidRPr="00F07A92" w:rsidTr="00C539FF">
        <w:tc>
          <w:tcPr>
            <w:tcW w:w="1419" w:type="dxa"/>
          </w:tcPr>
          <w:p w:rsidR="008F51FE" w:rsidRPr="00BC1774" w:rsidRDefault="008F51FE" w:rsidP="00AE7123">
            <w:pPr>
              <w:rPr>
                <w:rFonts w:ascii="Arial" w:hAnsi="Arial" w:cs="Arial"/>
                <w:sz w:val="18"/>
                <w:szCs w:val="16"/>
              </w:rPr>
            </w:pPr>
            <w:r w:rsidRPr="00BC1774">
              <w:rPr>
                <w:rFonts w:ascii="Arial" w:hAnsi="Arial" w:cs="Arial"/>
                <w:sz w:val="18"/>
                <w:szCs w:val="16"/>
              </w:rPr>
              <w:t>SEMMAN23-02</w:t>
            </w:r>
            <w:r w:rsidRPr="00BC1774">
              <w:rPr>
                <w:rFonts w:ascii="Arial" w:hAnsi="Arial" w:cs="Arial"/>
                <w:sz w:val="18"/>
                <w:szCs w:val="16"/>
              </w:rPr>
              <w:br/>
              <w:t>Unit 2</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 xml:space="preserve">Using </w:t>
            </w:r>
            <w:r w:rsidR="00563949" w:rsidRPr="00BC1774">
              <w:rPr>
                <w:rFonts w:ascii="Arial" w:hAnsi="Arial" w:cs="Arial"/>
                <w:sz w:val="18"/>
                <w:szCs w:val="16"/>
              </w:rPr>
              <w:t xml:space="preserve">and interpreting engineering data and documentation </w:t>
            </w:r>
          </w:p>
        </w:tc>
        <w:tc>
          <w:tcPr>
            <w:tcW w:w="1701" w:type="dxa"/>
          </w:tcPr>
          <w:p w:rsidR="008F51FE" w:rsidRPr="00F07A92" w:rsidRDefault="008F51FE" w:rsidP="00B35924">
            <w:pPr>
              <w:rPr>
                <w:rFonts w:ascii="Arial" w:hAnsi="Arial" w:cs="Arial"/>
              </w:rPr>
            </w:pPr>
            <w:r>
              <w:rPr>
                <w:rFonts w:ascii="Arial" w:hAnsi="Arial" w:cs="Arial"/>
              </w:rPr>
              <w:sym w:font="Symbol" w:char="F0D6"/>
            </w:r>
          </w:p>
        </w:tc>
        <w:tc>
          <w:tcPr>
            <w:tcW w:w="992" w:type="dxa"/>
          </w:tcPr>
          <w:p w:rsidR="008F51FE" w:rsidRPr="00F07A92" w:rsidRDefault="008F51FE" w:rsidP="00B35924">
            <w:pPr>
              <w:rPr>
                <w:rFonts w:ascii="Arial" w:hAnsi="Arial" w:cs="Arial"/>
              </w:rPr>
            </w:pPr>
            <w:r>
              <w:rPr>
                <w:rFonts w:ascii="Arial" w:hAnsi="Arial" w:cs="Arial"/>
              </w:rPr>
              <w:sym w:font="Symbol" w:char="F0D6"/>
            </w:r>
          </w:p>
        </w:tc>
        <w:tc>
          <w:tcPr>
            <w:tcW w:w="1134" w:type="dxa"/>
          </w:tcPr>
          <w:p w:rsidR="008F51FE" w:rsidRPr="00F07A92" w:rsidRDefault="008F51FE" w:rsidP="00B35924">
            <w:pPr>
              <w:rPr>
                <w:rFonts w:ascii="Arial" w:hAnsi="Arial" w:cs="Arial"/>
              </w:rPr>
            </w:pPr>
            <w:r>
              <w:rPr>
                <w:rFonts w:ascii="Arial" w:hAnsi="Arial" w:cs="Arial"/>
              </w:rPr>
              <w:sym w:font="Symbol" w:char="F0D6"/>
            </w:r>
          </w:p>
        </w:tc>
        <w:tc>
          <w:tcPr>
            <w:tcW w:w="993" w:type="dxa"/>
          </w:tcPr>
          <w:p w:rsidR="008F51FE" w:rsidRPr="00F07A92" w:rsidRDefault="008F51FE" w:rsidP="00B35924">
            <w:pPr>
              <w:rPr>
                <w:rFonts w:ascii="Arial" w:hAnsi="Arial" w:cs="Arial"/>
              </w:rPr>
            </w:pPr>
          </w:p>
        </w:tc>
        <w:tc>
          <w:tcPr>
            <w:tcW w:w="1275" w:type="dxa"/>
          </w:tcPr>
          <w:p w:rsidR="008F51FE" w:rsidRPr="00F07A92" w:rsidRDefault="008F51FE" w:rsidP="00B35924">
            <w:pPr>
              <w:rPr>
                <w:rFonts w:ascii="Arial" w:hAnsi="Arial" w:cs="Arial"/>
              </w:rPr>
            </w:pP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t>SEMPMO206</w:t>
            </w:r>
          </w:p>
        </w:tc>
        <w:tc>
          <w:tcPr>
            <w:tcW w:w="2551" w:type="dxa"/>
          </w:tcPr>
          <w:p w:rsidR="008F51FE" w:rsidRPr="00BC1774" w:rsidRDefault="00215F78">
            <w:pPr>
              <w:rPr>
                <w:rFonts w:ascii="Arial" w:hAnsi="Arial" w:cs="Arial"/>
                <w:sz w:val="18"/>
                <w:szCs w:val="16"/>
              </w:rPr>
            </w:pPr>
            <w:r>
              <w:rPr>
                <w:rFonts w:ascii="Arial" w:hAnsi="Arial" w:cs="Arial"/>
                <w:sz w:val="18"/>
                <w:szCs w:val="16"/>
              </w:rPr>
              <w:t>E</w:t>
            </w:r>
            <w:r w:rsidR="00563949" w:rsidRPr="00BC1774">
              <w:rPr>
                <w:rFonts w:ascii="Arial" w:hAnsi="Arial" w:cs="Arial"/>
                <w:sz w:val="18"/>
                <w:szCs w:val="16"/>
              </w:rPr>
              <w:t>nsuring effective handover of manufacturing operations</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p>
        </w:tc>
        <w:tc>
          <w:tcPr>
            <w:tcW w:w="1134" w:type="dxa"/>
          </w:tcPr>
          <w:p w:rsidR="008F51FE" w:rsidRDefault="008F51FE" w:rsidP="00B35924">
            <w:pPr>
              <w:rPr>
                <w:rFonts w:ascii="Arial" w:hAnsi="Arial" w:cs="Arial"/>
              </w:rPr>
            </w:pPr>
          </w:p>
        </w:tc>
        <w:tc>
          <w:tcPr>
            <w:tcW w:w="993" w:type="dxa"/>
          </w:tcPr>
          <w:p w:rsidR="008F51FE" w:rsidRPr="00F07A92" w:rsidRDefault="008F51FE" w:rsidP="00B35924">
            <w:pPr>
              <w:rPr>
                <w:rFonts w:ascii="Arial" w:hAnsi="Arial" w:cs="Arial"/>
              </w:rPr>
            </w:pPr>
          </w:p>
        </w:tc>
        <w:tc>
          <w:tcPr>
            <w:tcW w:w="1275" w:type="dxa"/>
          </w:tcPr>
          <w:p w:rsidR="008F51FE" w:rsidRPr="00F07A92" w:rsidRDefault="008F51FE" w:rsidP="00B35924">
            <w:pPr>
              <w:rPr>
                <w:rFonts w:ascii="Arial" w:hAnsi="Arial" w:cs="Arial"/>
              </w:rPr>
            </w:pPr>
            <w:r>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t>SE</w:t>
            </w:r>
            <w:r>
              <w:rPr>
                <w:rFonts w:ascii="Arial" w:hAnsi="Arial" w:cs="Arial"/>
                <w:sz w:val="18"/>
                <w:szCs w:val="16"/>
              </w:rPr>
              <w:t>MPMO2</w:t>
            </w:r>
            <w:r w:rsidRPr="00BC1774">
              <w:rPr>
                <w:rFonts w:ascii="Arial" w:hAnsi="Arial" w:cs="Arial"/>
                <w:sz w:val="18"/>
                <w:szCs w:val="16"/>
              </w:rPr>
              <w:t>17</w:t>
            </w:r>
          </w:p>
        </w:tc>
        <w:tc>
          <w:tcPr>
            <w:tcW w:w="2551" w:type="dxa"/>
          </w:tcPr>
          <w:p w:rsidR="008F51FE" w:rsidRPr="00BC1774" w:rsidRDefault="00896D54">
            <w:pPr>
              <w:rPr>
                <w:rFonts w:ascii="Arial" w:hAnsi="Arial" w:cs="Arial"/>
                <w:sz w:val="18"/>
                <w:szCs w:val="16"/>
              </w:rPr>
            </w:pPr>
            <w:r w:rsidRPr="00BC1774">
              <w:rPr>
                <w:rFonts w:ascii="Arial" w:hAnsi="Arial" w:cs="Arial"/>
                <w:sz w:val="18"/>
                <w:szCs w:val="16"/>
              </w:rPr>
              <w:t>Manufacturing products using combined manufacturing operations</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p>
        </w:tc>
        <w:tc>
          <w:tcPr>
            <w:tcW w:w="1134" w:type="dxa"/>
          </w:tcPr>
          <w:p w:rsidR="008F51FE" w:rsidRDefault="008F51FE" w:rsidP="00B35924">
            <w:pPr>
              <w:rPr>
                <w:rFonts w:ascii="Arial" w:hAnsi="Arial" w:cs="Arial"/>
              </w:rPr>
            </w:pPr>
          </w:p>
        </w:tc>
        <w:tc>
          <w:tcPr>
            <w:tcW w:w="993" w:type="dxa"/>
          </w:tcPr>
          <w:p w:rsidR="008F51FE" w:rsidRDefault="008F51FE">
            <w:r w:rsidRPr="00656960">
              <w:rPr>
                <w:rFonts w:ascii="Arial" w:hAnsi="Arial" w:cs="Arial"/>
              </w:rPr>
              <w:sym w:font="Symbol" w:char="F0D6"/>
            </w:r>
          </w:p>
        </w:tc>
        <w:tc>
          <w:tcPr>
            <w:tcW w:w="1275" w:type="dxa"/>
          </w:tcPr>
          <w:p w:rsidR="008F51FE" w:rsidRDefault="008F51FE">
            <w:r w:rsidRPr="00656960">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Pr>
                <w:rFonts w:ascii="Arial" w:hAnsi="Arial" w:cs="Arial"/>
                <w:sz w:val="18"/>
                <w:szCs w:val="16"/>
              </w:rPr>
              <w:t>SEMEMI2</w:t>
            </w:r>
            <w:r w:rsidRPr="00BC1774">
              <w:rPr>
                <w:rFonts w:ascii="Arial" w:hAnsi="Arial" w:cs="Arial"/>
                <w:sz w:val="18"/>
                <w:szCs w:val="16"/>
              </w:rPr>
              <w:t>04</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Handing over and confirming completion of maintenance or installation</w:t>
            </w:r>
          </w:p>
        </w:tc>
        <w:tc>
          <w:tcPr>
            <w:tcW w:w="1701" w:type="dxa"/>
          </w:tcPr>
          <w:p w:rsidR="008F51FE" w:rsidRDefault="008F51FE" w:rsidP="00523FAF">
            <w:pPr>
              <w:rPr>
                <w:rFonts w:ascii="Arial" w:hAnsi="Arial" w:cs="Arial"/>
              </w:rPr>
            </w:pPr>
            <w:r>
              <w:rPr>
                <w:rFonts w:ascii="Arial" w:hAnsi="Arial" w:cs="Arial"/>
              </w:rPr>
              <w:sym w:font="Symbol" w:char="F0D6"/>
            </w:r>
          </w:p>
        </w:tc>
        <w:tc>
          <w:tcPr>
            <w:tcW w:w="992" w:type="dxa"/>
          </w:tcPr>
          <w:p w:rsidR="008F51FE" w:rsidRDefault="008F51FE" w:rsidP="00523FAF">
            <w:pPr>
              <w:rPr>
                <w:rFonts w:ascii="Arial" w:hAnsi="Arial" w:cs="Arial"/>
              </w:rPr>
            </w:pPr>
          </w:p>
        </w:tc>
        <w:tc>
          <w:tcPr>
            <w:tcW w:w="1134" w:type="dxa"/>
          </w:tcPr>
          <w:p w:rsidR="008F51FE" w:rsidRDefault="008F51FE" w:rsidP="00523FAF">
            <w:pPr>
              <w:rPr>
                <w:rFonts w:ascii="Arial" w:hAnsi="Arial" w:cs="Arial"/>
              </w:rPr>
            </w:pPr>
          </w:p>
        </w:tc>
        <w:tc>
          <w:tcPr>
            <w:tcW w:w="993" w:type="dxa"/>
          </w:tcPr>
          <w:p w:rsidR="008F51FE" w:rsidRPr="00F07A92" w:rsidRDefault="008F51FE" w:rsidP="00523FAF">
            <w:pPr>
              <w:rPr>
                <w:rFonts w:ascii="Arial" w:hAnsi="Arial" w:cs="Arial"/>
              </w:rPr>
            </w:pPr>
          </w:p>
        </w:tc>
        <w:tc>
          <w:tcPr>
            <w:tcW w:w="1275" w:type="dxa"/>
          </w:tcPr>
          <w:p w:rsidR="008F51FE" w:rsidRPr="00F07A92" w:rsidRDefault="008F51FE" w:rsidP="00523FAF">
            <w:pPr>
              <w:rPr>
                <w:rFonts w:ascii="Arial" w:hAnsi="Arial" w:cs="Arial"/>
              </w:rPr>
            </w:pPr>
            <w:r>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t>SEMMME230</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Assembling pipework components to mechanical equipment</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p>
        </w:tc>
        <w:tc>
          <w:tcPr>
            <w:tcW w:w="1134" w:type="dxa"/>
          </w:tcPr>
          <w:p w:rsidR="008F51FE" w:rsidRDefault="008F51FE">
            <w:r w:rsidRPr="00D60EE6">
              <w:rPr>
                <w:rFonts w:ascii="Arial" w:hAnsi="Arial" w:cs="Arial"/>
              </w:rPr>
              <w:sym w:font="Symbol" w:char="F0D6"/>
            </w:r>
          </w:p>
        </w:tc>
        <w:tc>
          <w:tcPr>
            <w:tcW w:w="993" w:type="dxa"/>
          </w:tcPr>
          <w:p w:rsidR="008F51FE" w:rsidRDefault="008F51FE">
            <w:r w:rsidRPr="00D60EE6">
              <w:rPr>
                <w:rFonts w:ascii="Arial" w:hAnsi="Arial" w:cs="Arial"/>
              </w:rPr>
              <w:sym w:font="Symbol" w:char="F0D6"/>
            </w:r>
          </w:p>
        </w:tc>
        <w:tc>
          <w:tcPr>
            <w:tcW w:w="1275" w:type="dxa"/>
          </w:tcPr>
          <w:p w:rsidR="008F51FE" w:rsidRPr="00F07A92" w:rsidRDefault="008F51FE" w:rsidP="00B35924">
            <w:pPr>
              <w:rPr>
                <w:rFonts w:ascii="Arial" w:hAnsi="Arial" w:cs="Arial"/>
              </w:rPr>
            </w:pP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Pr>
                <w:rFonts w:ascii="Arial" w:hAnsi="Arial" w:cs="Arial"/>
                <w:sz w:val="18"/>
                <w:szCs w:val="16"/>
              </w:rPr>
              <w:t>SEMPEO2</w:t>
            </w:r>
            <w:r w:rsidRPr="00BC1774">
              <w:rPr>
                <w:rFonts w:ascii="Arial" w:hAnsi="Arial" w:cs="Arial"/>
                <w:sz w:val="18"/>
                <w:szCs w:val="16"/>
              </w:rPr>
              <w:t>39</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Maintaining and testing process instrumentation and control devices</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p>
        </w:tc>
        <w:tc>
          <w:tcPr>
            <w:tcW w:w="1134" w:type="dxa"/>
          </w:tcPr>
          <w:p w:rsidR="008F51FE" w:rsidRDefault="008F51FE" w:rsidP="00B35924">
            <w:pPr>
              <w:rPr>
                <w:rFonts w:ascii="Arial" w:hAnsi="Arial" w:cs="Arial"/>
              </w:rPr>
            </w:pPr>
            <w:r>
              <w:rPr>
                <w:rFonts w:ascii="Arial" w:hAnsi="Arial" w:cs="Arial"/>
              </w:rPr>
              <w:sym w:font="Symbol" w:char="F0D6"/>
            </w:r>
          </w:p>
        </w:tc>
        <w:tc>
          <w:tcPr>
            <w:tcW w:w="993" w:type="dxa"/>
          </w:tcPr>
          <w:p w:rsidR="008F51FE" w:rsidRDefault="008F51FE">
            <w:r w:rsidRPr="00A36AD9">
              <w:rPr>
                <w:rFonts w:ascii="Arial" w:hAnsi="Arial" w:cs="Arial"/>
              </w:rPr>
              <w:sym w:font="Symbol" w:char="F0D6"/>
            </w:r>
          </w:p>
        </w:tc>
        <w:tc>
          <w:tcPr>
            <w:tcW w:w="1275" w:type="dxa"/>
          </w:tcPr>
          <w:p w:rsidR="008F51FE" w:rsidRDefault="008F51FE">
            <w:r w:rsidRPr="00A36AD9">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t>SEMBIT204</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Contributing to the application of continuous improvement techniques (Kaizen)</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r>
              <w:rPr>
                <w:rFonts w:ascii="Arial" w:hAnsi="Arial" w:cs="Arial"/>
              </w:rPr>
              <w:sym w:font="Symbol" w:char="F0D6"/>
            </w:r>
          </w:p>
        </w:tc>
        <w:tc>
          <w:tcPr>
            <w:tcW w:w="1134" w:type="dxa"/>
          </w:tcPr>
          <w:p w:rsidR="008F51FE" w:rsidRDefault="008F51FE" w:rsidP="00B35924">
            <w:pPr>
              <w:rPr>
                <w:rFonts w:ascii="Arial" w:hAnsi="Arial" w:cs="Arial"/>
              </w:rPr>
            </w:pPr>
            <w:r>
              <w:rPr>
                <w:rFonts w:ascii="Arial" w:hAnsi="Arial" w:cs="Arial"/>
              </w:rPr>
              <w:sym w:font="Symbol" w:char="F0D6"/>
            </w:r>
          </w:p>
        </w:tc>
        <w:tc>
          <w:tcPr>
            <w:tcW w:w="993" w:type="dxa"/>
          </w:tcPr>
          <w:p w:rsidR="008F51FE" w:rsidRPr="00F07A92" w:rsidRDefault="008F51FE" w:rsidP="00B35924">
            <w:pPr>
              <w:rPr>
                <w:rFonts w:ascii="Arial" w:hAnsi="Arial" w:cs="Arial"/>
              </w:rPr>
            </w:pPr>
            <w:r>
              <w:rPr>
                <w:rFonts w:ascii="Arial" w:hAnsi="Arial" w:cs="Arial"/>
              </w:rPr>
              <w:sym w:font="Symbol" w:char="F0D6"/>
            </w:r>
          </w:p>
        </w:tc>
        <w:tc>
          <w:tcPr>
            <w:tcW w:w="1275" w:type="dxa"/>
          </w:tcPr>
          <w:p w:rsidR="008F51FE" w:rsidRPr="00F07A92" w:rsidRDefault="008F51FE" w:rsidP="00B35924">
            <w:pPr>
              <w:rPr>
                <w:rFonts w:ascii="Arial" w:hAnsi="Arial" w:cs="Arial"/>
              </w:rPr>
            </w:pPr>
            <w:r>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t>SEMPEO2-64</w:t>
            </w:r>
          </w:p>
        </w:tc>
        <w:tc>
          <w:tcPr>
            <w:tcW w:w="2551" w:type="dxa"/>
          </w:tcPr>
          <w:p w:rsidR="008F51FE" w:rsidRPr="00BC1774" w:rsidRDefault="00215F78">
            <w:pPr>
              <w:rPr>
                <w:rFonts w:ascii="Arial" w:hAnsi="Arial" w:cs="Arial"/>
                <w:sz w:val="18"/>
                <w:szCs w:val="16"/>
              </w:rPr>
            </w:pPr>
            <w:r>
              <w:rPr>
                <w:rFonts w:ascii="Arial" w:hAnsi="Arial" w:cs="Arial"/>
                <w:sz w:val="18"/>
                <w:szCs w:val="16"/>
              </w:rPr>
              <w:t>Conducting business i</w:t>
            </w:r>
            <w:r w:rsidR="008F51FE" w:rsidRPr="00BC1774">
              <w:rPr>
                <w:rFonts w:ascii="Arial" w:hAnsi="Arial" w:cs="Arial"/>
                <w:sz w:val="18"/>
                <w:szCs w:val="16"/>
              </w:rPr>
              <w:t>mproveme</w:t>
            </w:r>
            <w:r w:rsidR="00563949">
              <w:rPr>
                <w:rFonts w:ascii="Arial" w:hAnsi="Arial" w:cs="Arial"/>
                <w:sz w:val="18"/>
                <w:szCs w:val="16"/>
              </w:rPr>
              <w:t>nt a</w:t>
            </w:r>
            <w:r w:rsidR="008F51FE" w:rsidRPr="00BC1774">
              <w:rPr>
                <w:rFonts w:ascii="Arial" w:hAnsi="Arial" w:cs="Arial"/>
                <w:sz w:val="18"/>
                <w:szCs w:val="16"/>
              </w:rPr>
              <w:t>ctivities</w:t>
            </w:r>
          </w:p>
        </w:tc>
        <w:tc>
          <w:tcPr>
            <w:tcW w:w="1701" w:type="dxa"/>
          </w:tcPr>
          <w:p w:rsidR="008F51FE" w:rsidRDefault="008F51FE" w:rsidP="00B35924">
            <w:pPr>
              <w:rPr>
                <w:rFonts w:ascii="Arial" w:hAnsi="Arial" w:cs="Arial"/>
              </w:rPr>
            </w:pPr>
            <w:r>
              <w:rPr>
                <w:rFonts w:ascii="Arial" w:hAnsi="Arial" w:cs="Arial"/>
              </w:rPr>
              <w:sym w:font="Symbol" w:char="F0D6"/>
            </w:r>
          </w:p>
        </w:tc>
        <w:tc>
          <w:tcPr>
            <w:tcW w:w="992" w:type="dxa"/>
          </w:tcPr>
          <w:p w:rsidR="008F51FE" w:rsidRDefault="008F51FE" w:rsidP="00B35924">
            <w:pPr>
              <w:rPr>
                <w:rFonts w:ascii="Arial" w:hAnsi="Arial" w:cs="Arial"/>
              </w:rPr>
            </w:pPr>
          </w:p>
        </w:tc>
        <w:tc>
          <w:tcPr>
            <w:tcW w:w="1134" w:type="dxa"/>
          </w:tcPr>
          <w:p w:rsidR="008F51FE" w:rsidRDefault="008F51FE">
            <w:r w:rsidRPr="00C164F3">
              <w:rPr>
                <w:rFonts w:ascii="Arial" w:hAnsi="Arial" w:cs="Arial"/>
              </w:rPr>
              <w:sym w:font="Symbol" w:char="F0D6"/>
            </w:r>
          </w:p>
        </w:tc>
        <w:tc>
          <w:tcPr>
            <w:tcW w:w="993" w:type="dxa"/>
          </w:tcPr>
          <w:p w:rsidR="008F51FE" w:rsidRDefault="008F51FE">
            <w:r w:rsidRPr="00C164F3">
              <w:rPr>
                <w:rFonts w:ascii="Arial" w:hAnsi="Arial" w:cs="Arial"/>
              </w:rPr>
              <w:sym w:font="Symbol" w:char="F0D6"/>
            </w:r>
          </w:p>
        </w:tc>
        <w:tc>
          <w:tcPr>
            <w:tcW w:w="1275" w:type="dxa"/>
          </w:tcPr>
          <w:p w:rsidR="008F51FE" w:rsidRDefault="008F51FE">
            <w:r w:rsidRPr="00C164F3">
              <w:rPr>
                <w:rFonts w:ascii="Arial" w:hAnsi="Arial" w:cs="Arial"/>
              </w:rPr>
              <w:sym w:font="Symbol" w:char="F0D6"/>
            </w:r>
          </w:p>
        </w:tc>
      </w:tr>
      <w:tr w:rsidR="008F51FE" w:rsidRPr="00F07A92" w:rsidTr="00C539FF">
        <w:tc>
          <w:tcPr>
            <w:tcW w:w="1419" w:type="dxa"/>
            <w:vAlign w:val="center"/>
          </w:tcPr>
          <w:p w:rsidR="008F51FE" w:rsidRPr="00BC1774" w:rsidRDefault="008F51FE" w:rsidP="00AE7123">
            <w:pPr>
              <w:rPr>
                <w:rFonts w:ascii="Arial" w:hAnsi="Arial" w:cs="Arial"/>
                <w:sz w:val="18"/>
                <w:szCs w:val="16"/>
              </w:rPr>
            </w:pPr>
          </w:p>
        </w:tc>
        <w:tc>
          <w:tcPr>
            <w:tcW w:w="2551" w:type="dxa"/>
          </w:tcPr>
          <w:p w:rsidR="008F51FE" w:rsidRPr="00BC1774" w:rsidRDefault="008F51FE">
            <w:pPr>
              <w:rPr>
                <w:rFonts w:ascii="Arial" w:hAnsi="Arial" w:cs="Arial"/>
                <w:sz w:val="18"/>
                <w:szCs w:val="16"/>
              </w:rPr>
            </w:pPr>
          </w:p>
        </w:tc>
        <w:tc>
          <w:tcPr>
            <w:tcW w:w="1701" w:type="dxa"/>
          </w:tcPr>
          <w:p w:rsidR="008F51FE" w:rsidRDefault="008F51FE" w:rsidP="00B35924">
            <w:pPr>
              <w:rPr>
                <w:rFonts w:ascii="Arial" w:hAnsi="Arial" w:cs="Arial"/>
              </w:rPr>
            </w:pPr>
          </w:p>
        </w:tc>
        <w:tc>
          <w:tcPr>
            <w:tcW w:w="992" w:type="dxa"/>
          </w:tcPr>
          <w:p w:rsidR="008F51FE" w:rsidRDefault="008F51FE" w:rsidP="00B35924">
            <w:pPr>
              <w:rPr>
                <w:rFonts w:ascii="Arial" w:hAnsi="Arial" w:cs="Arial"/>
              </w:rPr>
            </w:pPr>
          </w:p>
        </w:tc>
        <w:tc>
          <w:tcPr>
            <w:tcW w:w="1134" w:type="dxa"/>
          </w:tcPr>
          <w:p w:rsidR="008F51FE" w:rsidRDefault="008F51FE" w:rsidP="00B35924">
            <w:pPr>
              <w:rPr>
                <w:rFonts w:ascii="Arial" w:hAnsi="Arial" w:cs="Arial"/>
              </w:rPr>
            </w:pPr>
          </w:p>
        </w:tc>
        <w:tc>
          <w:tcPr>
            <w:tcW w:w="993" w:type="dxa"/>
          </w:tcPr>
          <w:p w:rsidR="008F51FE" w:rsidRPr="00F07A92" w:rsidRDefault="008F51FE" w:rsidP="00B35924">
            <w:pPr>
              <w:rPr>
                <w:rFonts w:ascii="Arial" w:hAnsi="Arial" w:cs="Arial"/>
              </w:rPr>
            </w:pPr>
          </w:p>
        </w:tc>
        <w:tc>
          <w:tcPr>
            <w:tcW w:w="1275" w:type="dxa"/>
          </w:tcPr>
          <w:p w:rsidR="008F51FE" w:rsidRPr="00F07A92" w:rsidRDefault="008F51FE" w:rsidP="00B35924">
            <w:pPr>
              <w:rPr>
                <w:rFonts w:ascii="Arial" w:hAnsi="Arial" w:cs="Arial"/>
              </w:rPr>
            </w:pPr>
          </w:p>
        </w:tc>
      </w:tr>
      <w:tr w:rsidR="008F51FE" w:rsidRPr="00F07A92" w:rsidTr="00C539FF">
        <w:tc>
          <w:tcPr>
            <w:tcW w:w="1419" w:type="dxa"/>
            <w:vAlign w:val="center"/>
          </w:tcPr>
          <w:p w:rsidR="008F51FE" w:rsidRPr="00BC1774" w:rsidRDefault="008F51FE" w:rsidP="00AE7123">
            <w:pPr>
              <w:rPr>
                <w:rFonts w:ascii="Arial" w:hAnsi="Arial" w:cs="Arial"/>
                <w:sz w:val="18"/>
                <w:szCs w:val="16"/>
              </w:rPr>
            </w:pPr>
            <w:r w:rsidRPr="00BC1774">
              <w:rPr>
                <w:rFonts w:ascii="Arial" w:hAnsi="Arial" w:cs="Arial"/>
                <w:sz w:val="18"/>
                <w:szCs w:val="16"/>
              </w:rPr>
              <w:lastRenderedPageBreak/>
              <w:t>COGPIO1.8</w:t>
            </w:r>
          </w:p>
        </w:tc>
        <w:tc>
          <w:tcPr>
            <w:tcW w:w="2551" w:type="dxa"/>
          </w:tcPr>
          <w:p w:rsidR="008F51FE" w:rsidRPr="00BC1774" w:rsidRDefault="008F51FE">
            <w:pPr>
              <w:rPr>
                <w:rFonts w:ascii="Arial" w:hAnsi="Arial" w:cs="Arial"/>
                <w:sz w:val="18"/>
                <w:szCs w:val="16"/>
              </w:rPr>
            </w:pPr>
            <w:r w:rsidRPr="00BC1774">
              <w:rPr>
                <w:rFonts w:ascii="Arial" w:hAnsi="Arial" w:cs="Arial"/>
                <w:sz w:val="18"/>
                <w:szCs w:val="16"/>
              </w:rPr>
              <w:t xml:space="preserve">Work in </w:t>
            </w:r>
            <w:r w:rsidR="00563949" w:rsidRPr="00BC1774">
              <w:rPr>
                <w:rFonts w:ascii="Arial" w:hAnsi="Arial" w:cs="Arial"/>
                <w:sz w:val="18"/>
                <w:szCs w:val="16"/>
              </w:rPr>
              <w:t>aseptic or clean room conditions in processing industries operations</w:t>
            </w:r>
          </w:p>
        </w:tc>
        <w:tc>
          <w:tcPr>
            <w:tcW w:w="1701" w:type="dxa"/>
          </w:tcPr>
          <w:p w:rsidR="008F51FE" w:rsidRDefault="008F51FE" w:rsidP="00523FAF">
            <w:pPr>
              <w:rPr>
                <w:rFonts w:ascii="Arial" w:hAnsi="Arial" w:cs="Arial"/>
              </w:rPr>
            </w:pPr>
            <w:r>
              <w:rPr>
                <w:rFonts w:ascii="Arial" w:hAnsi="Arial" w:cs="Arial"/>
              </w:rPr>
              <w:sym w:font="Symbol" w:char="F0D6"/>
            </w:r>
          </w:p>
        </w:tc>
        <w:tc>
          <w:tcPr>
            <w:tcW w:w="992" w:type="dxa"/>
          </w:tcPr>
          <w:p w:rsidR="008F51FE" w:rsidRDefault="008F51FE" w:rsidP="00523FAF">
            <w:pPr>
              <w:rPr>
                <w:rFonts w:ascii="Arial" w:hAnsi="Arial" w:cs="Arial"/>
              </w:rPr>
            </w:pPr>
          </w:p>
        </w:tc>
        <w:tc>
          <w:tcPr>
            <w:tcW w:w="1134" w:type="dxa"/>
          </w:tcPr>
          <w:p w:rsidR="008F51FE" w:rsidRDefault="008F51FE" w:rsidP="00523FAF">
            <w:pPr>
              <w:rPr>
                <w:rFonts w:ascii="Arial" w:hAnsi="Arial" w:cs="Arial"/>
              </w:rPr>
            </w:pPr>
          </w:p>
        </w:tc>
        <w:tc>
          <w:tcPr>
            <w:tcW w:w="993" w:type="dxa"/>
          </w:tcPr>
          <w:p w:rsidR="008F51FE" w:rsidRDefault="008F51FE" w:rsidP="00523FAF">
            <w:r w:rsidRPr="00656960">
              <w:rPr>
                <w:rFonts w:ascii="Arial" w:hAnsi="Arial" w:cs="Arial"/>
              </w:rPr>
              <w:sym w:font="Symbol" w:char="F0D6"/>
            </w:r>
          </w:p>
        </w:tc>
        <w:tc>
          <w:tcPr>
            <w:tcW w:w="1275" w:type="dxa"/>
          </w:tcPr>
          <w:p w:rsidR="008F51FE" w:rsidRPr="00F07A92" w:rsidRDefault="008F51FE" w:rsidP="00B35924">
            <w:pPr>
              <w:rPr>
                <w:rFonts w:ascii="Arial" w:hAnsi="Arial" w:cs="Arial"/>
              </w:rPr>
            </w:pPr>
          </w:p>
        </w:tc>
      </w:tr>
      <w:tr w:rsidR="00BC1774" w:rsidRPr="00F07A92" w:rsidTr="00C539FF">
        <w:tc>
          <w:tcPr>
            <w:tcW w:w="1419" w:type="dxa"/>
            <w:vAlign w:val="center"/>
          </w:tcPr>
          <w:p w:rsidR="00BC1774" w:rsidRPr="00BC1774" w:rsidRDefault="00BC1774" w:rsidP="00AE7123">
            <w:pPr>
              <w:rPr>
                <w:rFonts w:ascii="Arial" w:hAnsi="Arial" w:cs="Arial"/>
                <w:sz w:val="18"/>
                <w:szCs w:val="16"/>
              </w:rPr>
            </w:pPr>
            <w:r w:rsidRPr="00BC1774">
              <w:rPr>
                <w:rFonts w:ascii="Arial" w:hAnsi="Arial" w:cs="Arial"/>
                <w:sz w:val="18"/>
                <w:szCs w:val="16"/>
              </w:rPr>
              <w:t>SEMPMO223</w:t>
            </w:r>
          </w:p>
        </w:tc>
        <w:tc>
          <w:tcPr>
            <w:tcW w:w="2551" w:type="dxa"/>
          </w:tcPr>
          <w:p w:rsidR="00BC1774" w:rsidRPr="00BC1774" w:rsidRDefault="00BC1774">
            <w:pPr>
              <w:rPr>
                <w:rFonts w:ascii="Arial" w:hAnsi="Arial" w:cs="Arial"/>
                <w:sz w:val="18"/>
                <w:szCs w:val="16"/>
              </w:rPr>
            </w:pPr>
            <w:r w:rsidRPr="00BC1774">
              <w:rPr>
                <w:rFonts w:ascii="Arial" w:hAnsi="Arial" w:cs="Arial"/>
                <w:sz w:val="18"/>
                <w:szCs w:val="16"/>
              </w:rPr>
              <w:t xml:space="preserve">Recording and </w:t>
            </w:r>
            <w:r w:rsidR="00563949" w:rsidRPr="00BC1774">
              <w:rPr>
                <w:rFonts w:ascii="Arial" w:hAnsi="Arial" w:cs="Arial"/>
                <w:sz w:val="18"/>
                <w:szCs w:val="16"/>
              </w:rPr>
              <w:t>reporting inspection and test results</w:t>
            </w:r>
          </w:p>
        </w:tc>
        <w:tc>
          <w:tcPr>
            <w:tcW w:w="1701" w:type="dxa"/>
          </w:tcPr>
          <w:p w:rsidR="00BC1774" w:rsidRDefault="009E4316" w:rsidP="00B35924">
            <w:pPr>
              <w:rPr>
                <w:rFonts w:ascii="Arial" w:hAnsi="Arial" w:cs="Arial"/>
              </w:rPr>
            </w:pPr>
            <w:r>
              <w:rPr>
                <w:rFonts w:ascii="Arial" w:hAnsi="Arial" w:cs="Arial"/>
              </w:rPr>
              <w:sym w:font="Symbol" w:char="F0D6"/>
            </w:r>
          </w:p>
        </w:tc>
        <w:tc>
          <w:tcPr>
            <w:tcW w:w="992" w:type="dxa"/>
          </w:tcPr>
          <w:p w:rsidR="00BC1774" w:rsidRDefault="00BC1774" w:rsidP="00B35924">
            <w:pPr>
              <w:rPr>
                <w:rFonts w:ascii="Arial" w:hAnsi="Arial" w:cs="Arial"/>
              </w:rPr>
            </w:pPr>
          </w:p>
        </w:tc>
        <w:tc>
          <w:tcPr>
            <w:tcW w:w="1134" w:type="dxa"/>
          </w:tcPr>
          <w:p w:rsidR="00BC1774" w:rsidRDefault="00BC1774" w:rsidP="00B35924">
            <w:pPr>
              <w:rPr>
                <w:rFonts w:ascii="Arial" w:hAnsi="Arial" w:cs="Arial"/>
              </w:rPr>
            </w:pPr>
          </w:p>
        </w:tc>
        <w:tc>
          <w:tcPr>
            <w:tcW w:w="993" w:type="dxa"/>
          </w:tcPr>
          <w:p w:rsidR="00BC1774" w:rsidRPr="00F07A92" w:rsidRDefault="00BC1774" w:rsidP="00B35924">
            <w:pPr>
              <w:rPr>
                <w:rFonts w:ascii="Arial" w:hAnsi="Arial" w:cs="Arial"/>
              </w:rPr>
            </w:pPr>
          </w:p>
        </w:tc>
        <w:tc>
          <w:tcPr>
            <w:tcW w:w="1275" w:type="dxa"/>
          </w:tcPr>
          <w:p w:rsidR="00BC1774" w:rsidRPr="00F07A92" w:rsidRDefault="00BC1774" w:rsidP="00B35924">
            <w:pPr>
              <w:rPr>
                <w:rFonts w:ascii="Arial" w:hAnsi="Arial" w:cs="Arial"/>
              </w:rPr>
            </w:pPr>
          </w:p>
        </w:tc>
      </w:tr>
      <w:tr w:rsidR="00896D54" w:rsidRPr="00F07A92" w:rsidTr="00C539FF">
        <w:tc>
          <w:tcPr>
            <w:tcW w:w="1419" w:type="dxa"/>
            <w:vAlign w:val="center"/>
          </w:tcPr>
          <w:p w:rsidR="00896D54" w:rsidRPr="00BC1774" w:rsidRDefault="00896D54" w:rsidP="00AE7123">
            <w:pPr>
              <w:rPr>
                <w:rFonts w:ascii="Arial" w:hAnsi="Arial" w:cs="Arial"/>
                <w:sz w:val="18"/>
                <w:szCs w:val="16"/>
              </w:rPr>
            </w:pPr>
            <w:r w:rsidRPr="00BC1774">
              <w:rPr>
                <w:rFonts w:ascii="Arial" w:hAnsi="Arial" w:cs="Arial"/>
                <w:sz w:val="18"/>
                <w:szCs w:val="16"/>
              </w:rPr>
              <w:t>COGLATA212</w:t>
            </w:r>
          </w:p>
        </w:tc>
        <w:tc>
          <w:tcPr>
            <w:tcW w:w="2551" w:type="dxa"/>
          </w:tcPr>
          <w:p w:rsidR="00896D54" w:rsidRPr="00BC1774" w:rsidRDefault="00896D54">
            <w:pPr>
              <w:rPr>
                <w:rFonts w:ascii="Arial" w:hAnsi="Arial" w:cs="Arial"/>
                <w:sz w:val="18"/>
                <w:szCs w:val="16"/>
              </w:rPr>
            </w:pPr>
            <w:r w:rsidRPr="00BC1774">
              <w:rPr>
                <w:rFonts w:ascii="Arial" w:hAnsi="Arial" w:cs="Arial"/>
                <w:sz w:val="18"/>
                <w:szCs w:val="16"/>
              </w:rPr>
              <w:t>Carry out simple scientific or technical tests using manual equipment</w:t>
            </w:r>
          </w:p>
        </w:tc>
        <w:tc>
          <w:tcPr>
            <w:tcW w:w="1701" w:type="dxa"/>
          </w:tcPr>
          <w:p w:rsidR="00896D54" w:rsidRDefault="00896D54" w:rsidP="00B35924">
            <w:pPr>
              <w:rPr>
                <w:rFonts w:ascii="Arial" w:hAnsi="Arial" w:cs="Arial"/>
              </w:rPr>
            </w:pPr>
            <w:r>
              <w:rPr>
                <w:rFonts w:ascii="Arial" w:hAnsi="Arial" w:cs="Arial"/>
              </w:rPr>
              <w:sym w:font="Symbol" w:char="F0D6"/>
            </w:r>
          </w:p>
        </w:tc>
        <w:tc>
          <w:tcPr>
            <w:tcW w:w="992" w:type="dxa"/>
          </w:tcPr>
          <w:p w:rsidR="00896D54" w:rsidRDefault="00896D54" w:rsidP="00B35924">
            <w:pPr>
              <w:rPr>
                <w:rFonts w:ascii="Arial" w:hAnsi="Arial" w:cs="Arial"/>
              </w:rPr>
            </w:pPr>
          </w:p>
        </w:tc>
        <w:tc>
          <w:tcPr>
            <w:tcW w:w="1134" w:type="dxa"/>
          </w:tcPr>
          <w:p w:rsidR="00896D54" w:rsidRDefault="00896D54"/>
        </w:tc>
        <w:tc>
          <w:tcPr>
            <w:tcW w:w="993" w:type="dxa"/>
          </w:tcPr>
          <w:p w:rsidR="00896D54" w:rsidRDefault="00896D54">
            <w:r w:rsidRPr="00297A87">
              <w:rPr>
                <w:rFonts w:ascii="Arial" w:hAnsi="Arial" w:cs="Arial"/>
              </w:rPr>
              <w:sym w:font="Symbol" w:char="F0D6"/>
            </w:r>
          </w:p>
        </w:tc>
        <w:tc>
          <w:tcPr>
            <w:tcW w:w="1275" w:type="dxa"/>
          </w:tcPr>
          <w:p w:rsidR="00896D54" w:rsidRPr="00F07A92" w:rsidRDefault="00896D54" w:rsidP="00B35924">
            <w:pPr>
              <w:rPr>
                <w:rFonts w:ascii="Arial" w:hAnsi="Arial" w:cs="Arial"/>
              </w:rPr>
            </w:pPr>
          </w:p>
        </w:tc>
      </w:tr>
      <w:tr w:rsidR="00563949" w:rsidRPr="00F07A92" w:rsidTr="00C539FF">
        <w:tc>
          <w:tcPr>
            <w:tcW w:w="1419" w:type="dxa"/>
            <w:vAlign w:val="center"/>
          </w:tcPr>
          <w:p w:rsidR="00563949" w:rsidRPr="00BC1774" w:rsidRDefault="00563949" w:rsidP="00AE7123">
            <w:pPr>
              <w:rPr>
                <w:rFonts w:ascii="Arial" w:hAnsi="Arial" w:cs="Arial"/>
                <w:sz w:val="18"/>
                <w:szCs w:val="16"/>
              </w:rPr>
            </w:pPr>
            <w:r w:rsidRPr="00BC1774">
              <w:rPr>
                <w:rFonts w:ascii="Arial" w:hAnsi="Arial" w:cs="Arial"/>
                <w:sz w:val="18"/>
                <w:szCs w:val="16"/>
              </w:rPr>
              <w:t>COGLATA    2-13</w:t>
            </w:r>
          </w:p>
        </w:tc>
        <w:tc>
          <w:tcPr>
            <w:tcW w:w="2551" w:type="dxa"/>
          </w:tcPr>
          <w:p w:rsidR="00563949" w:rsidRPr="00BC1774" w:rsidRDefault="00563949">
            <w:pPr>
              <w:rPr>
                <w:rFonts w:ascii="Arial" w:hAnsi="Arial" w:cs="Arial"/>
                <w:sz w:val="18"/>
                <w:szCs w:val="16"/>
              </w:rPr>
            </w:pPr>
            <w:r w:rsidRPr="00BC1774">
              <w:rPr>
                <w:rFonts w:ascii="Arial" w:hAnsi="Arial" w:cs="Arial"/>
                <w:sz w:val="18"/>
                <w:szCs w:val="16"/>
              </w:rPr>
              <w:t>Carry out simple scientific or technical tests using automated equipment</w:t>
            </w:r>
          </w:p>
        </w:tc>
        <w:tc>
          <w:tcPr>
            <w:tcW w:w="1701" w:type="dxa"/>
          </w:tcPr>
          <w:p w:rsidR="00563949" w:rsidRDefault="00563949" w:rsidP="00523FAF">
            <w:pPr>
              <w:rPr>
                <w:rFonts w:ascii="Arial" w:hAnsi="Arial" w:cs="Arial"/>
              </w:rPr>
            </w:pPr>
            <w:r>
              <w:rPr>
                <w:rFonts w:ascii="Arial" w:hAnsi="Arial" w:cs="Arial"/>
              </w:rPr>
              <w:sym w:font="Symbol" w:char="F0D6"/>
            </w:r>
          </w:p>
        </w:tc>
        <w:tc>
          <w:tcPr>
            <w:tcW w:w="992" w:type="dxa"/>
          </w:tcPr>
          <w:p w:rsidR="00563949" w:rsidRDefault="00563949" w:rsidP="00523FAF">
            <w:pPr>
              <w:rPr>
                <w:rFonts w:ascii="Arial" w:hAnsi="Arial" w:cs="Arial"/>
              </w:rPr>
            </w:pPr>
          </w:p>
        </w:tc>
        <w:tc>
          <w:tcPr>
            <w:tcW w:w="1134" w:type="dxa"/>
          </w:tcPr>
          <w:p w:rsidR="00563949" w:rsidRDefault="00563949" w:rsidP="00523FAF"/>
        </w:tc>
        <w:tc>
          <w:tcPr>
            <w:tcW w:w="993" w:type="dxa"/>
          </w:tcPr>
          <w:p w:rsidR="00563949" w:rsidRDefault="00563949" w:rsidP="00523FAF">
            <w:r w:rsidRPr="00297A87">
              <w:rPr>
                <w:rFonts w:ascii="Arial" w:hAnsi="Arial" w:cs="Arial"/>
              </w:rPr>
              <w:sym w:font="Symbol" w:char="F0D6"/>
            </w:r>
          </w:p>
        </w:tc>
        <w:tc>
          <w:tcPr>
            <w:tcW w:w="1275" w:type="dxa"/>
          </w:tcPr>
          <w:p w:rsidR="00563949" w:rsidRPr="00F07A92" w:rsidRDefault="00563949" w:rsidP="00B35924">
            <w:pPr>
              <w:rPr>
                <w:rFonts w:ascii="Arial" w:hAnsi="Arial" w:cs="Arial"/>
              </w:rPr>
            </w:pPr>
          </w:p>
        </w:tc>
      </w:tr>
      <w:tr w:rsidR="00563949" w:rsidRPr="00F07A92" w:rsidTr="00C539FF">
        <w:tc>
          <w:tcPr>
            <w:tcW w:w="1419" w:type="dxa"/>
            <w:vAlign w:val="center"/>
          </w:tcPr>
          <w:p w:rsidR="00563949" w:rsidRPr="00BC1774" w:rsidRDefault="00563949" w:rsidP="00AE7123">
            <w:pPr>
              <w:rPr>
                <w:rFonts w:ascii="Arial" w:hAnsi="Arial" w:cs="Arial"/>
                <w:sz w:val="18"/>
                <w:szCs w:val="16"/>
              </w:rPr>
            </w:pPr>
            <w:r w:rsidRPr="00BC1774">
              <w:rPr>
                <w:rFonts w:ascii="Arial" w:hAnsi="Arial" w:cs="Arial"/>
                <w:sz w:val="18"/>
                <w:szCs w:val="16"/>
              </w:rPr>
              <w:t>COGLATA</w:t>
            </w:r>
          </w:p>
          <w:p w:rsidR="00563949" w:rsidRPr="00BC1774" w:rsidRDefault="00563949" w:rsidP="00AE7123">
            <w:pPr>
              <w:rPr>
                <w:rFonts w:ascii="Arial" w:hAnsi="Arial" w:cs="Arial"/>
                <w:sz w:val="18"/>
                <w:szCs w:val="16"/>
              </w:rPr>
            </w:pPr>
            <w:r w:rsidRPr="00BC1774">
              <w:rPr>
                <w:rFonts w:ascii="Arial" w:hAnsi="Arial" w:cs="Arial"/>
                <w:sz w:val="18"/>
                <w:szCs w:val="16"/>
              </w:rPr>
              <w:t>2-06</w:t>
            </w:r>
          </w:p>
        </w:tc>
        <w:tc>
          <w:tcPr>
            <w:tcW w:w="2551" w:type="dxa"/>
          </w:tcPr>
          <w:p w:rsidR="00563949" w:rsidRPr="00BC1774" w:rsidRDefault="00563949">
            <w:pPr>
              <w:rPr>
                <w:rFonts w:ascii="Arial" w:hAnsi="Arial" w:cs="Arial"/>
                <w:sz w:val="18"/>
                <w:szCs w:val="16"/>
              </w:rPr>
            </w:pPr>
            <w:r w:rsidRPr="00BC1774">
              <w:rPr>
                <w:rFonts w:ascii="Arial" w:hAnsi="Arial" w:cs="Arial"/>
                <w:sz w:val="18"/>
                <w:szCs w:val="16"/>
              </w:rPr>
              <w:t>Prepare compounds and solutions for scientific or technical use</w:t>
            </w:r>
          </w:p>
        </w:tc>
        <w:tc>
          <w:tcPr>
            <w:tcW w:w="1701" w:type="dxa"/>
          </w:tcPr>
          <w:p w:rsidR="00563949" w:rsidRDefault="00563949" w:rsidP="00B35924">
            <w:pPr>
              <w:rPr>
                <w:rFonts w:ascii="Arial" w:hAnsi="Arial" w:cs="Arial"/>
              </w:rPr>
            </w:pPr>
            <w:r>
              <w:rPr>
                <w:rFonts w:ascii="Arial" w:hAnsi="Arial" w:cs="Arial"/>
              </w:rPr>
              <w:sym w:font="Symbol" w:char="F0D6"/>
            </w:r>
          </w:p>
        </w:tc>
        <w:tc>
          <w:tcPr>
            <w:tcW w:w="992" w:type="dxa"/>
          </w:tcPr>
          <w:p w:rsidR="00563949" w:rsidRDefault="00563949" w:rsidP="00B35924">
            <w:pPr>
              <w:rPr>
                <w:rFonts w:ascii="Arial" w:hAnsi="Arial" w:cs="Arial"/>
              </w:rPr>
            </w:pPr>
          </w:p>
        </w:tc>
        <w:tc>
          <w:tcPr>
            <w:tcW w:w="1134" w:type="dxa"/>
          </w:tcPr>
          <w:p w:rsidR="00563949" w:rsidRDefault="00563949" w:rsidP="00B35924">
            <w:pPr>
              <w:rPr>
                <w:rFonts w:ascii="Arial" w:hAnsi="Arial" w:cs="Arial"/>
              </w:rPr>
            </w:pPr>
            <w:r>
              <w:rPr>
                <w:rFonts w:ascii="Arial" w:hAnsi="Arial" w:cs="Arial"/>
              </w:rPr>
              <w:sym w:font="Symbol" w:char="F0D6"/>
            </w:r>
          </w:p>
        </w:tc>
        <w:tc>
          <w:tcPr>
            <w:tcW w:w="993" w:type="dxa"/>
          </w:tcPr>
          <w:p w:rsidR="00563949" w:rsidRPr="00F07A92" w:rsidRDefault="00563949" w:rsidP="00B35924">
            <w:pPr>
              <w:rPr>
                <w:rFonts w:ascii="Arial" w:hAnsi="Arial" w:cs="Arial"/>
              </w:rPr>
            </w:pPr>
          </w:p>
        </w:tc>
        <w:tc>
          <w:tcPr>
            <w:tcW w:w="1275" w:type="dxa"/>
          </w:tcPr>
          <w:p w:rsidR="00563949" w:rsidRPr="00F07A92" w:rsidRDefault="00563949" w:rsidP="00B35924">
            <w:pPr>
              <w:rPr>
                <w:rFonts w:ascii="Arial" w:hAnsi="Arial" w:cs="Arial"/>
              </w:rPr>
            </w:pPr>
          </w:p>
        </w:tc>
      </w:tr>
      <w:tr w:rsidR="00563949" w:rsidRPr="00F07A92" w:rsidTr="00C539FF">
        <w:tc>
          <w:tcPr>
            <w:tcW w:w="1419" w:type="dxa"/>
            <w:vAlign w:val="center"/>
          </w:tcPr>
          <w:p w:rsidR="00563949" w:rsidRPr="00BC1774" w:rsidRDefault="00563949" w:rsidP="00AE7123">
            <w:pPr>
              <w:rPr>
                <w:rFonts w:ascii="Arial" w:hAnsi="Arial" w:cs="Arial"/>
                <w:sz w:val="18"/>
                <w:szCs w:val="16"/>
              </w:rPr>
            </w:pPr>
            <w:r w:rsidRPr="00BC1774">
              <w:rPr>
                <w:rFonts w:ascii="Arial" w:hAnsi="Arial" w:cs="Arial"/>
                <w:sz w:val="18"/>
                <w:szCs w:val="16"/>
              </w:rPr>
              <w:t>COGWT32</w:t>
            </w:r>
          </w:p>
        </w:tc>
        <w:tc>
          <w:tcPr>
            <w:tcW w:w="2551" w:type="dxa"/>
          </w:tcPr>
          <w:p w:rsidR="00563949" w:rsidRPr="00BC1774" w:rsidRDefault="00563949">
            <w:pPr>
              <w:rPr>
                <w:rFonts w:ascii="Arial" w:hAnsi="Arial" w:cs="Arial"/>
                <w:sz w:val="18"/>
                <w:szCs w:val="16"/>
              </w:rPr>
            </w:pPr>
            <w:r w:rsidRPr="00BC1774">
              <w:rPr>
                <w:rFonts w:ascii="Arial" w:hAnsi="Arial" w:cs="Arial"/>
                <w:sz w:val="18"/>
                <w:szCs w:val="16"/>
              </w:rPr>
              <w:t>Sample from water systems</w:t>
            </w:r>
          </w:p>
        </w:tc>
        <w:tc>
          <w:tcPr>
            <w:tcW w:w="1701" w:type="dxa"/>
          </w:tcPr>
          <w:p w:rsidR="00563949" w:rsidRDefault="00563949" w:rsidP="00523FAF">
            <w:pPr>
              <w:rPr>
                <w:rFonts w:ascii="Arial" w:hAnsi="Arial" w:cs="Arial"/>
              </w:rPr>
            </w:pPr>
            <w:r>
              <w:rPr>
                <w:rFonts w:ascii="Arial" w:hAnsi="Arial" w:cs="Arial"/>
              </w:rPr>
              <w:sym w:font="Symbol" w:char="F0D6"/>
            </w:r>
          </w:p>
        </w:tc>
        <w:tc>
          <w:tcPr>
            <w:tcW w:w="992" w:type="dxa"/>
          </w:tcPr>
          <w:p w:rsidR="00563949" w:rsidRDefault="00563949" w:rsidP="00523FAF">
            <w:pPr>
              <w:rPr>
                <w:rFonts w:ascii="Arial" w:hAnsi="Arial" w:cs="Arial"/>
              </w:rPr>
            </w:pPr>
          </w:p>
        </w:tc>
        <w:tc>
          <w:tcPr>
            <w:tcW w:w="1134" w:type="dxa"/>
          </w:tcPr>
          <w:p w:rsidR="00563949" w:rsidRDefault="00563949" w:rsidP="00523FAF"/>
        </w:tc>
        <w:tc>
          <w:tcPr>
            <w:tcW w:w="993" w:type="dxa"/>
          </w:tcPr>
          <w:p w:rsidR="00563949" w:rsidRDefault="00563949" w:rsidP="00523FAF">
            <w:r w:rsidRPr="00297A87">
              <w:rPr>
                <w:rFonts w:ascii="Arial" w:hAnsi="Arial" w:cs="Arial"/>
              </w:rPr>
              <w:sym w:font="Symbol" w:char="F0D6"/>
            </w:r>
          </w:p>
        </w:tc>
        <w:tc>
          <w:tcPr>
            <w:tcW w:w="1275" w:type="dxa"/>
          </w:tcPr>
          <w:p w:rsidR="00563949" w:rsidRPr="00F07A92" w:rsidRDefault="00563949" w:rsidP="00B35924">
            <w:pPr>
              <w:rPr>
                <w:rFonts w:ascii="Arial" w:hAnsi="Arial" w:cs="Arial"/>
              </w:rPr>
            </w:pPr>
          </w:p>
        </w:tc>
      </w:tr>
      <w:tr w:rsidR="00563949" w:rsidRPr="00F07A92" w:rsidTr="00C539FF">
        <w:tc>
          <w:tcPr>
            <w:tcW w:w="1419" w:type="dxa"/>
            <w:vAlign w:val="center"/>
          </w:tcPr>
          <w:p w:rsidR="00563949" w:rsidRPr="00BC1774" w:rsidRDefault="00563949" w:rsidP="00AE7123">
            <w:pPr>
              <w:rPr>
                <w:rFonts w:ascii="Arial" w:hAnsi="Arial" w:cs="Arial"/>
                <w:sz w:val="18"/>
                <w:szCs w:val="16"/>
              </w:rPr>
            </w:pPr>
            <w:r w:rsidRPr="00BC1774">
              <w:rPr>
                <w:rFonts w:ascii="Arial" w:hAnsi="Arial" w:cs="Arial"/>
                <w:sz w:val="18"/>
                <w:szCs w:val="16"/>
              </w:rPr>
              <w:t>COGLATA</w:t>
            </w:r>
          </w:p>
          <w:p w:rsidR="00563949" w:rsidRPr="00BC1774" w:rsidRDefault="00563949" w:rsidP="00AE7123">
            <w:pPr>
              <w:rPr>
                <w:rFonts w:ascii="Arial" w:hAnsi="Arial" w:cs="Arial"/>
                <w:sz w:val="18"/>
                <w:szCs w:val="16"/>
              </w:rPr>
            </w:pPr>
            <w:r w:rsidRPr="00BC1774">
              <w:rPr>
                <w:rFonts w:ascii="Arial" w:hAnsi="Arial" w:cs="Arial"/>
                <w:sz w:val="18"/>
                <w:szCs w:val="16"/>
              </w:rPr>
              <w:t>2-16</w:t>
            </w:r>
          </w:p>
        </w:tc>
        <w:tc>
          <w:tcPr>
            <w:tcW w:w="2551" w:type="dxa"/>
          </w:tcPr>
          <w:p w:rsidR="00563949" w:rsidRPr="00BC1774" w:rsidRDefault="00563949">
            <w:pPr>
              <w:rPr>
                <w:rFonts w:ascii="Arial" w:hAnsi="Arial" w:cs="Arial"/>
                <w:sz w:val="18"/>
                <w:szCs w:val="16"/>
              </w:rPr>
            </w:pPr>
            <w:r w:rsidRPr="00BC1774">
              <w:rPr>
                <w:rFonts w:ascii="Arial" w:hAnsi="Arial" w:cs="Arial"/>
                <w:sz w:val="18"/>
                <w:szCs w:val="16"/>
              </w:rPr>
              <w:t>Following aseptic procedures in the laboratory environment</w:t>
            </w:r>
          </w:p>
        </w:tc>
        <w:tc>
          <w:tcPr>
            <w:tcW w:w="1701" w:type="dxa"/>
          </w:tcPr>
          <w:p w:rsidR="00563949" w:rsidRDefault="00563949" w:rsidP="00B35924">
            <w:pPr>
              <w:rPr>
                <w:rFonts w:ascii="Arial" w:hAnsi="Arial" w:cs="Arial"/>
              </w:rPr>
            </w:pPr>
            <w:r>
              <w:rPr>
                <w:rFonts w:ascii="Arial" w:hAnsi="Arial" w:cs="Arial"/>
              </w:rPr>
              <w:sym w:font="Symbol" w:char="F0D6"/>
            </w:r>
          </w:p>
        </w:tc>
        <w:tc>
          <w:tcPr>
            <w:tcW w:w="992" w:type="dxa"/>
          </w:tcPr>
          <w:p w:rsidR="00563949" w:rsidRDefault="00563949" w:rsidP="00B35924">
            <w:pPr>
              <w:rPr>
                <w:rFonts w:ascii="Arial" w:hAnsi="Arial" w:cs="Arial"/>
              </w:rPr>
            </w:pPr>
          </w:p>
        </w:tc>
        <w:tc>
          <w:tcPr>
            <w:tcW w:w="1134" w:type="dxa"/>
          </w:tcPr>
          <w:p w:rsidR="00563949" w:rsidRDefault="00563949" w:rsidP="00B35924">
            <w:pPr>
              <w:rPr>
                <w:rFonts w:ascii="Arial" w:hAnsi="Arial" w:cs="Arial"/>
              </w:rPr>
            </w:pPr>
          </w:p>
        </w:tc>
        <w:tc>
          <w:tcPr>
            <w:tcW w:w="993" w:type="dxa"/>
          </w:tcPr>
          <w:p w:rsidR="00563949" w:rsidRPr="00F07A92" w:rsidRDefault="00563949" w:rsidP="00B35924">
            <w:pPr>
              <w:rPr>
                <w:rFonts w:ascii="Arial" w:hAnsi="Arial" w:cs="Arial"/>
              </w:rPr>
            </w:pPr>
          </w:p>
        </w:tc>
        <w:tc>
          <w:tcPr>
            <w:tcW w:w="1275" w:type="dxa"/>
          </w:tcPr>
          <w:p w:rsidR="00563949" w:rsidRPr="00F07A92" w:rsidRDefault="00563949" w:rsidP="00B35924">
            <w:pPr>
              <w:rPr>
                <w:rFonts w:ascii="Arial" w:hAnsi="Arial" w:cs="Arial"/>
              </w:rPr>
            </w:pPr>
          </w:p>
        </w:tc>
      </w:tr>
    </w:tbl>
    <w:p w:rsidR="00F84377" w:rsidRDefault="00F84377"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 xml:space="preserve">Footer – all numbers refer to SCQF level </w:t>
      </w:r>
      <w:r w:rsidR="00F84377">
        <w:rPr>
          <w:rFonts w:ascii="Arial" w:hAnsi="Arial" w:cs="Arial"/>
        </w:rPr>
        <w:t xml:space="preserve">5 </w:t>
      </w:r>
      <w:r w:rsidRPr="00F07A92">
        <w:rPr>
          <w:rFonts w:ascii="Arial" w:hAnsi="Arial" w:cs="Arial"/>
        </w:rPr>
        <w:t>– any blanks indicate no opportunity</w:t>
      </w:r>
    </w:p>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5B" w:rsidRDefault="00B4655B" w:rsidP="00B4655B">
      <w:pPr>
        <w:spacing w:after="0" w:line="240" w:lineRule="auto"/>
      </w:pPr>
      <w:r>
        <w:separator/>
      </w:r>
    </w:p>
  </w:endnote>
  <w:endnote w:type="continuationSeparator" w:id="0">
    <w:p w:rsidR="00B4655B" w:rsidRDefault="00B4655B" w:rsidP="00B4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5B" w:rsidRDefault="00B4655B">
    <w:pPr>
      <w:pStyle w:val="Footer"/>
    </w:pPr>
    <w:r>
      <w:t>CSS Approved at ACG 14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5B" w:rsidRDefault="00B4655B" w:rsidP="00B4655B">
      <w:pPr>
        <w:spacing w:after="0" w:line="240" w:lineRule="auto"/>
      </w:pPr>
      <w:r>
        <w:separator/>
      </w:r>
    </w:p>
  </w:footnote>
  <w:footnote w:type="continuationSeparator" w:id="0">
    <w:p w:rsidR="00B4655B" w:rsidRDefault="00B4655B" w:rsidP="00B46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342ED"/>
    <w:rsid w:val="000600D9"/>
    <w:rsid w:val="0009094F"/>
    <w:rsid w:val="000B5CA2"/>
    <w:rsid w:val="000E3E4F"/>
    <w:rsid w:val="001E45B5"/>
    <w:rsid w:val="00215F78"/>
    <w:rsid w:val="00232CA1"/>
    <w:rsid w:val="00260916"/>
    <w:rsid w:val="00260BC6"/>
    <w:rsid w:val="00277941"/>
    <w:rsid w:val="002C00DD"/>
    <w:rsid w:val="00322E2B"/>
    <w:rsid w:val="003764C6"/>
    <w:rsid w:val="00381CBB"/>
    <w:rsid w:val="003A03E2"/>
    <w:rsid w:val="003E32D6"/>
    <w:rsid w:val="0044063F"/>
    <w:rsid w:val="004668B8"/>
    <w:rsid w:val="004774D0"/>
    <w:rsid w:val="004A0E0B"/>
    <w:rsid w:val="004A32B3"/>
    <w:rsid w:val="00524F01"/>
    <w:rsid w:val="00563949"/>
    <w:rsid w:val="005B2BCF"/>
    <w:rsid w:val="005B3EBC"/>
    <w:rsid w:val="005B7E56"/>
    <w:rsid w:val="005D02A5"/>
    <w:rsid w:val="00604F88"/>
    <w:rsid w:val="00625124"/>
    <w:rsid w:val="006E6067"/>
    <w:rsid w:val="007501FA"/>
    <w:rsid w:val="007678E2"/>
    <w:rsid w:val="00774A34"/>
    <w:rsid w:val="007B28A3"/>
    <w:rsid w:val="00896D54"/>
    <w:rsid w:val="008F51FE"/>
    <w:rsid w:val="00907A97"/>
    <w:rsid w:val="009435F3"/>
    <w:rsid w:val="009528E7"/>
    <w:rsid w:val="009553A5"/>
    <w:rsid w:val="00960C06"/>
    <w:rsid w:val="009E4316"/>
    <w:rsid w:val="00A015BA"/>
    <w:rsid w:val="00A36891"/>
    <w:rsid w:val="00A670D0"/>
    <w:rsid w:val="00A718B0"/>
    <w:rsid w:val="00AC355D"/>
    <w:rsid w:val="00AE578A"/>
    <w:rsid w:val="00AE7123"/>
    <w:rsid w:val="00AF3E06"/>
    <w:rsid w:val="00B16190"/>
    <w:rsid w:val="00B35924"/>
    <w:rsid w:val="00B43751"/>
    <w:rsid w:val="00B4655B"/>
    <w:rsid w:val="00B512AF"/>
    <w:rsid w:val="00BB637F"/>
    <w:rsid w:val="00BC1774"/>
    <w:rsid w:val="00C539FF"/>
    <w:rsid w:val="00C5565C"/>
    <w:rsid w:val="00C76C53"/>
    <w:rsid w:val="00CB5B65"/>
    <w:rsid w:val="00D40B1C"/>
    <w:rsid w:val="00D60991"/>
    <w:rsid w:val="00D629CC"/>
    <w:rsid w:val="00D74A15"/>
    <w:rsid w:val="00DB528E"/>
    <w:rsid w:val="00E769F2"/>
    <w:rsid w:val="00E77BDA"/>
    <w:rsid w:val="00F07A92"/>
    <w:rsid w:val="00F2209B"/>
    <w:rsid w:val="00F2548A"/>
    <w:rsid w:val="00F77C66"/>
    <w:rsid w:val="00F84377"/>
    <w:rsid w:val="00FA501B"/>
    <w:rsid w:val="00FB59D7"/>
    <w:rsid w:val="00FF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F463"/>
  <w15:docId w15:val="{95731E12-6B40-4952-BCD7-CABF380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B4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55B"/>
  </w:style>
  <w:style w:type="paragraph" w:styleId="Footer">
    <w:name w:val="footer"/>
    <w:basedOn w:val="Normal"/>
    <w:link w:val="FooterChar"/>
    <w:uiPriority w:val="99"/>
    <w:unhideWhenUsed/>
    <w:rsid w:val="00B4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817">
      <w:bodyDiv w:val="1"/>
      <w:marLeft w:val="0"/>
      <w:marRight w:val="0"/>
      <w:marTop w:val="0"/>
      <w:marBottom w:val="0"/>
      <w:divBdr>
        <w:top w:val="none" w:sz="0" w:space="0" w:color="auto"/>
        <w:left w:val="none" w:sz="0" w:space="0" w:color="auto"/>
        <w:bottom w:val="none" w:sz="0" w:space="0" w:color="auto"/>
        <w:right w:val="none" w:sz="0" w:space="0" w:color="auto"/>
      </w:divBdr>
    </w:div>
    <w:div w:id="51774828">
      <w:bodyDiv w:val="1"/>
      <w:marLeft w:val="0"/>
      <w:marRight w:val="0"/>
      <w:marTop w:val="0"/>
      <w:marBottom w:val="0"/>
      <w:divBdr>
        <w:top w:val="none" w:sz="0" w:space="0" w:color="auto"/>
        <w:left w:val="none" w:sz="0" w:space="0" w:color="auto"/>
        <w:bottom w:val="none" w:sz="0" w:space="0" w:color="auto"/>
        <w:right w:val="none" w:sz="0" w:space="0" w:color="auto"/>
      </w:divBdr>
    </w:div>
    <w:div w:id="85005862">
      <w:bodyDiv w:val="1"/>
      <w:marLeft w:val="0"/>
      <w:marRight w:val="0"/>
      <w:marTop w:val="0"/>
      <w:marBottom w:val="0"/>
      <w:divBdr>
        <w:top w:val="none" w:sz="0" w:space="0" w:color="auto"/>
        <w:left w:val="none" w:sz="0" w:space="0" w:color="auto"/>
        <w:bottom w:val="none" w:sz="0" w:space="0" w:color="auto"/>
        <w:right w:val="none" w:sz="0" w:space="0" w:color="auto"/>
      </w:divBdr>
    </w:div>
    <w:div w:id="86196836">
      <w:bodyDiv w:val="1"/>
      <w:marLeft w:val="0"/>
      <w:marRight w:val="0"/>
      <w:marTop w:val="0"/>
      <w:marBottom w:val="0"/>
      <w:divBdr>
        <w:top w:val="none" w:sz="0" w:space="0" w:color="auto"/>
        <w:left w:val="none" w:sz="0" w:space="0" w:color="auto"/>
        <w:bottom w:val="none" w:sz="0" w:space="0" w:color="auto"/>
        <w:right w:val="none" w:sz="0" w:space="0" w:color="auto"/>
      </w:divBdr>
    </w:div>
    <w:div w:id="95682675">
      <w:bodyDiv w:val="1"/>
      <w:marLeft w:val="0"/>
      <w:marRight w:val="0"/>
      <w:marTop w:val="0"/>
      <w:marBottom w:val="0"/>
      <w:divBdr>
        <w:top w:val="none" w:sz="0" w:space="0" w:color="auto"/>
        <w:left w:val="none" w:sz="0" w:space="0" w:color="auto"/>
        <w:bottom w:val="none" w:sz="0" w:space="0" w:color="auto"/>
        <w:right w:val="none" w:sz="0" w:space="0" w:color="auto"/>
      </w:divBdr>
    </w:div>
    <w:div w:id="132261457">
      <w:bodyDiv w:val="1"/>
      <w:marLeft w:val="0"/>
      <w:marRight w:val="0"/>
      <w:marTop w:val="0"/>
      <w:marBottom w:val="0"/>
      <w:divBdr>
        <w:top w:val="none" w:sz="0" w:space="0" w:color="auto"/>
        <w:left w:val="none" w:sz="0" w:space="0" w:color="auto"/>
        <w:bottom w:val="none" w:sz="0" w:space="0" w:color="auto"/>
        <w:right w:val="none" w:sz="0" w:space="0" w:color="auto"/>
      </w:divBdr>
    </w:div>
    <w:div w:id="244267910">
      <w:bodyDiv w:val="1"/>
      <w:marLeft w:val="0"/>
      <w:marRight w:val="0"/>
      <w:marTop w:val="0"/>
      <w:marBottom w:val="0"/>
      <w:divBdr>
        <w:top w:val="none" w:sz="0" w:space="0" w:color="auto"/>
        <w:left w:val="none" w:sz="0" w:space="0" w:color="auto"/>
        <w:bottom w:val="none" w:sz="0" w:space="0" w:color="auto"/>
        <w:right w:val="none" w:sz="0" w:space="0" w:color="auto"/>
      </w:divBdr>
    </w:div>
    <w:div w:id="286740248">
      <w:bodyDiv w:val="1"/>
      <w:marLeft w:val="0"/>
      <w:marRight w:val="0"/>
      <w:marTop w:val="0"/>
      <w:marBottom w:val="0"/>
      <w:divBdr>
        <w:top w:val="none" w:sz="0" w:space="0" w:color="auto"/>
        <w:left w:val="none" w:sz="0" w:space="0" w:color="auto"/>
        <w:bottom w:val="none" w:sz="0" w:space="0" w:color="auto"/>
        <w:right w:val="none" w:sz="0" w:space="0" w:color="auto"/>
      </w:divBdr>
    </w:div>
    <w:div w:id="291718061">
      <w:bodyDiv w:val="1"/>
      <w:marLeft w:val="0"/>
      <w:marRight w:val="0"/>
      <w:marTop w:val="0"/>
      <w:marBottom w:val="0"/>
      <w:divBdr>
        <w:top w:val="none" w:sz="0" w:space="0" w:color="auto"/>
        <w:left w:val="none" w:sz="0" w:space="0" w:color="auto"/>
        <w:bottom w:val="none" w:sz="0" w:space="0" w:color="auto"/>
        <w:right w:val="none" w:sz="0" w:space="0" w:color="auto"/>
      </w:divBdr>
    </w:div>
    <w:div w:id="370375203">
      <w:bodyDiv w:val="1"/>
      <w:marLeft w:val="0"/>
      <w:marRight w:val="0"/>
      <w:marTop w:val="0"/>
      <w:marBottom w:val="0"/>
      <w:divBdr>
        <w:top w:val="none" w:sz="0" w:space="0" w:color="auto"/>
        <w:left w:val="none" w:sz="0" w:space="0" w:color="auto"/>
        <w:bottom w:val="none" w:sz="0" w:space="0" w:color="auto"/>
        <w:right w:val="none" w:sz="0" w:space="0" w:color="auto"/>
      </w:divBdr>
    </w:div>
    <w:div w:id="381255134">
      <w:bodyDiv w:val="1"/>
      <w:marLeft w:val="0"/>
      <w:marRight w:val="0"/>
      <w:marTop w:val="0"/>
      <w:marBottom w:val="0"/>
      <w:divBdr>
        <w:top w:val="none" w:sz="0" w:space="0" w:color="auto"/>
        <w:left w:val="none" w:sz="0" w:space="0" w:color="auto"/>
        <w:bottom w:val="none" w:sz="0" w:space="0" w:color="auto"/>
        <w:right w:val="none" w:sz="0" w:space="0" w:color="auto"/>
      </w:divBdr>
    </w:div>
    <w:div w:id="389501664">
      <w:bodyDiv w:val="1"/>
      <w:marLeft w:val="0"/>
      <w:marRight w:val="0"/>
      <w:marTop w:val="0"/>
      <w:marBottom w:val="0"/>
      <w:divBdr>
        <w:top w:val="none" w:sz="0" w:space="0" w:color="auto"/>
        <w:left w:val="none" w:sz="0" w:space="0" w:color="auto"/>
        <w:bottom w:val="none" w:sz="0" w:space="0" w:color="auto"/>
        <w:right w:val="none" w:sz="0" w:space="0" w:color="auto"/>
      </w:divBdr>
    </w:div>
    <w:div w:id="459227770">
      <w:bodyDiv w:val="1"/>
      <w:marLeft w:val="0"/>
      <w:marRight w:val="0"/>
      <w:marTop w:val="0"/>
      <w:marBottom w:val="0"/>
      <w:divBdr>
        <w:top w:val="none" w:sz="0" w:space="0" w:color="auto"/>
        <w:left w:val="none" w:sz="0" w:space="0" w:color="auto"/>
        <w:bottom w:val="none" w:sz="0" w:space="0" w:color="auto"/>
        <w:right w:val="none" w:sz="0" w:space="0" w:color="auto"/>
      </w:divBdr>
    </w:div>
    <w:div w:id="500853966">
      <w:bodyDiv w:val="1"/>
      <w:marLeft w:val="0"/>
      <w:marRight w:val="0"/>
      <w:marTop w:val="0"/>
      <w:marBottom w:val="0"/>
      <w:divBdr>
        <w:top w:val="none" w:sz="0" w:space="0" w:color="auto"/>
        <w:left w:val="none" w:sz="0" w:space="0" w:color="auto"/>
        <w:bottom w:val="none" w:sz="0" w:space="0" w:color="auto"/>
        <w:right w:val="none" w:sz="0" w:space="0" w:color="auto"/>
      </w:divBdr>
    </w:div>
    <w:div w:id="581641690">
      <w:bodyDiv w:val="1"/>
      <w:marLeft w:val="0"/>
      <w:marRight w:val="0"/>
      <w:marTop w:val="0"/>
      <w:marBottom w:val="0"/>
      <w:divBdr>
        <w:top w:val="none" w:sz="0" w:space="0" w:color="auto"/>
        <w:left w:val="none" w:sz="0" w:space="0" w:color="auto"/>
        <w:bottom w:val="none" w:sz="0" w:space="0" w:color="auto"/>
        <w:right w:val="none" w:sz="0" w:space="0" w:color="auto"/>
      </w:divBdr>
    </w:div>
    <w:div w:id="646591310">
      <w:bodyDiv w:val="1"/>
      <w:marLeft w:val="0"/>
      <w:marRight w:val="0"/>
      <w:marTop w:val="0"/>
      <w:marBottom w:val="0"/>
      <w:divBdr>
        <w:top w:val="none" w:sz="0" w:space="0" w:color="auto"/>
        <w:left w:val="none" w:sz="0" w:space="0" w:color="auto"/>
        <w:bottom w:val="none" w:sz="0" w:space="0" w:color="auto"/>
        <w:right w:val="none" w:sz="0" w:space="0" w:color="auto"/>
      </w:divBdr>
    </w:div>
    <w:div w:id="708341468">
      <w:bodyDiv w:val="1"/>
      <w:marLeft w:val="0"/>
      <w:marRight w:val="0"/>
      <w:marTop w:val="0"/>
      <w:marBottom w:val="0"/>
      <w:divBdr>
        <w:top w:val="none" w:sz="0" w:space="0" w:color="auto"/>
        <w:left w:val="none" w:sz="0" w:space="0" w:color="auto"/>
        <w:bottom w:val="none" w:sz="0" w:space="0" w:color="auto"/>
        <w:right w:val="none" w:sz="0" w:space="0" w:color="auto"/>
      </w:divBdr>
    </w:div>
    <w:div w:id="742796718">
      <w:bodyDiv w:val="1"/>
      <w:marLeft w:val="0"/>
      <w:marRight w:val="0"/>
      <w:marTop w:val="0"/>
      <w:marBottom w:val="0"/>
      <w:divBdr>
        <w:top w:val="none" w:sz="0" w:space="0" w:color="auto"/>
        <w:left w:val="none" w:sz="0" w:space="0" w:color="auto"/>
        <w:bottom w:val="none" w:sz="0" w:space="0" w:color="auto"/>
        <w:right w:val="none" w:sz="0" w:space="0" w:color="auto"/>
      </w:divBdr>
    </w:div>
    <w:div w:id="754283051">
      <w:bodyDiv w:val="1"/>
      <w:marLeft w:val="0"/>
      <w:marRight w:val="0"/>
      <w:marTop w:val="0"/>
      <w:marBottom w:val="0"/>
      <w:divBdr>
        <w:top w:val="none" w:sz="0" w:space="0" w:color="auto"/>
        <w:left w:val="none" w:sz="0" w:space="0" w:color="auto"/>
        <w:bottom w:val="none" w:sz="0" w:space="0" w:color="auto"/>
        <w:right w:val="none" w:sz="0" w:space="0" w:color="auto"/>
      </w:divBdr>
    </w:div>
    <w:div w:id="787621320">
      <w:bodyDiv w:val="1"/>
      <w:marLeft w:val="0"/>
      <w:marRight w:val="0"/>
      <w:marTop w:val="0"/>
      <w:marBottom w:val="0"/>
      <w:divBdr>
        <w:top w:val="none" w:sz="0" w:space="0" w:color="auto"/>
        <w:left w:val="none" w:sz="0" w:space="0" w:color="auto"/>
        <w:bottom w:val="none" w:sz="0" w:space="0" w:color="auto"/>
        <w:right w:val="none" w:sz="0" w:space="0" w:color="auto"/>
      </w:divBdr>
    </w:div>
    <w:div w:id="850296419">
      <w:bodyDiv w:val="1"/>
      <w:marLeft w:val="0"/>
      <w:marRight w:val="0"/>
      <w:marTop w:val="0"/>
      <w:marBottom w:val="0"/>
      <w:divBdr>
        <w:top w:val="none" w:sz="0" w:space="0" w:color="auto"/>
        <w:left w:val="none" w:sz="0" w:space="0" w:color="auto"/>
        <w:bottom w:val="none" w:sz="0" w:space="0" w:color="auto"/>
        <w:right w:val="none" w:sz="0" w:space="0" w:color="auto"/>
      </w:divBdr>
    </w:div>
    <w:div w:id="887568007">
      <w:bodyDiv w:val="1"/>
      <w:marLeft w:val="0"/>
      <w:marRight w:val="0"/>
      <w:marTop w:val="0"/>
      <w:marBottom w:val="0"/>
      <w:divBdr>
        <w:top w:val="none" w:sz="0" w:space="0" w:color="auto"/>
        <w:left w:val="none" w:sz="0" w:space="0" w:color="auto"/>
        <w:bottom w:val="none" w:sz="0" w:space="0" w:color="auto"/>
        <w:right w:val="none" w:sz="0" w:space="0" w:color="auto"/>
      </w:divBdr>
    </w:div>
    <w:div w:id="890118303">
      <w:bodyDiv w:val="1"/>
      <w:marLeft w:val="0"/>
      <w:marRight w:val="0"/>
      <w:marTop w:val="0"/>
      <w:marBottom w:val="0"/>
      <w:divBdr>
        <w:top w:val="none" w:sz="0" w:space="0" w:color="auto"/>
        <w:left w:val="none" w:sz="0" w:space="0" w:color="auto"/>
        <w:bottom w:val="none" w:sz="0" w:space="0" w:color="auto"/>
        <w:right w:val="none" w:sz="0" w:space="0" w:color="auto"/>
      </w:divBdr>
    </w:div>
    <w:div w:id="924219328">
      <w:bodyDiv w:val="1"/>
      <w:marLeft w:val="0"/>
      <w:marRight w:val="0"/>
      <w:marTop w:val="0"/>
      <w:marBottom w:val="0"/>
      <w:divBdr>
        <w:top w:val="none" w:sz="0" w:space="0" w:color="auto"/>
        <w:left w:val="none" w:sz="0" w:space="0" w:color="auto"/>
        <w:bottom w:val="none" w:sz="0" w:space="0" w:color="auto"/>
        <w:right w:val="none" w:sz="0" w:space="0" w:color="auto"/>
      </w:divBdr>
    </w:div>
    <w:div w:id="1007563130">
      <w:bodyDiv w:val="1"/>
      <w:marLeft w:val="0"/>
      <w:marRight w:val="0"/>
      <w:marTop w:val="0"/>
      <w:marBottom w:val="0"/>
      <w:divBdr>
        <w:top w:val="none" w:sz="0" w:space="0" w:color="auto"/>
        <w:left w:val="none" w:sz="0" w:space="0" w:color="auto"/>
        <w:bottom w:val="none" w:sz="0" w:space="0" w:color="auto"/>
        <w:right w:val="none" w:sz="0" w:space="0" w:color="auto"/>
      </w:divBdr>
    </w:div>
    <w:div w:id="1009914346">
      <w:bodyDiv w:val="1"/>
      <w:marLeft w:val="0"/>
      <w:marRight w:val="0"/>
      <w:marTop w:val="0"/>
      <w:marBottom w:val="0"/>
      <w:divBdr>
        <w:top w:val="none" w:sz="0" w:space="0" w:color="auto"/>
        <w:left w:val="none" w:sz="0" w:space="0" w:color="auto"/>
        <w:bottom w:val="none" w:sz="0" w:space="0" w:color="auto"/>
        <w:right w:val="none" w:sz="0" w:space="0" w:color="auto"/>
      </w:divBdr>
    </w:div>
    <w:div w:id="1031761712">
      <w:bodyDiv w:val="1"/>
      <w:marLeft w:val="0"/>
      <w:marRight w:val="0"/>
      <w:marTop w:val="0"/>
      <w:marBottom w:val="0"/>
      <w:divBdr>
        <w:top w:val="none" w:sz="0" w:space="0" w:color="auto"/>
        <w:left w:val="none" w:sz="0" w:space="0" w:color="auto"/>
        <w:bottom w:val="none" w:sz="0" w:space="0" w:color="auto"/>
        <w:right w:val="none" w:sz="0" w:space="0" w:color="auto"/>
      </w:divBdr>
    </w:div>
    <w:div w:id="1045257302">
      <w:bodyDiv w:val="1"/>
      <w:marLeft w:val="0"/>
      <w:marRight w:val="0"/>
      <w:marTop w:val="0"/>
      <w:marBottom w:val="0"/>
      <w:divBdr>
        <w:top w:val="none" w:sz="0" w:space="0" w:color="auto"/>
        <w:left w:val="none" w:sz="0" w:space="0" w:color="auto"/>
        <w:bottom w:val="none" w:sz="0" w:space="0" w:color="auto"/>
        <w:right w:val="none" w:sz="0" w:space="0" w:color="auto"/>
      </w:divBdr>
    </w:div>
    <w:div w:id="1057900901">
      <w:bodyDiv w:val="1"/>
      <w:marLeft w:val="0"/>
      <w:marRight w:val="0"/>
      <w:marTop w:val="0"/>
      <w:marBottom w:val="0"/>
      <w:divBdr>
        <w:top w:val="none" w:sz="0" w:space="0" w:color="auto"/>
        <w:left w:val="none" w:sz="0" w:space="0" w:color="auto"/>
        <w:bottom w:val="none" w:sz="0" w:space="0" w:color="auto"/>
        <w:right w:val="none" w:sz="0" w:space="0" w:color="auto"/>
      </w:divBdr>
    </w:div>
    <w:div w:id="1066033578">
      <w:bodyDiv w:val="1"/>
      <w:marLeft w:val="0"/>
      <w:marRight w:val="0"/>
      <w:marTop w:val="0"/>
      <w:marBottom w:val="0"/>
      <w:divBdr>
        <w:top w:val="none" w:sz="0" w:space="0" w:color="auto"/>
        <w:left w:val="none" w:sz="0" w:space="0" w:color="auto"/>
        <w:bottom w:val="none" w:sz="0" w:space="0" w:color="auto"/>
        <w:right w:val="none" w:sz="0" w:space="0" w:color="auto"/>
      </w:divBdr>
    </w:div>
    <w:div w:id="1145660311">
      <w:bodyDiv w:val="1"/>
      <w:marLeft w:val="0"/>
      <w:marRight w:val="0"/>
      <w:marTop w:val="0"/>
      <w:marBottom w:val="0"/>
      <w:divBdr>
        <w:top w:val="none" w:sz="0" w:space="0" w:color="auto"/>
        <w:left w:val="none" w:sz="0" w:space="0" w:color="auto"/>
        <w:bottom w:val="none" w:sz="0" w:space="0" w:color="auto"/>
        <w:right w:val="none" w:sz="0" w:space="0" w:color="auto"/>
      </w:divBdr>
    </w:div>
    <w:div w:id="1190217438">
      <w:bodyDiv w:val="1"/>
      <w:marLeft w:val="0"/>
      <w:marRight w:val="0"/>
      <w:marTop w:val="0"/>
      <w:marBottom w:val="0"/>
      <w:divBdr>
        <w:top w:val="none" w:sz="0" w:space="0" w:color="auto"/>
        <w:left w:val="none" w:sz="0" w:space="0" w:color="auto"/>
        <w:bottom w:val="none" w:sz="0" w:space="0" w:color="auto"/>
        <w:right w:val="none" w:sz="0" w:space="0" w:color="auto"/>
      </w:divBdr>
    </w:div>
    <w:div w:id="1228222943">
      <w:bodyDiv w:val="1"/>
      <w:marLeft w:val="0"/>
      <w:marRight w:val="0"/>
      <w:marTop w:val="0"/>
      <w:marBottom w:val="0"/>
      <w:divBdr>
        <w:top w:val="none" w:sz="0" w:space="0" w:color="auto"/>
        <w:left w:val="none" w:sz="0" w:space="0" w:color="auto"/>
        <w:bottom w:val="none" w:sz="0" w:space="0" w:color="auto"/>
        <w:right w:val="none" w:sz="0" w:space="0" w:color="auto"/>
      </w:divBdr>
    </w:div>
    <w:div w:id="1242520135">
      <w:bodyDiv w:val="1"/>
      <w:marLeft w:val="0"/>
      <w:marRight w:val="0"/>
      <w:marTop w:val="0"/>
      <w:marBottom w:val="0"/>
      <w:divBdr>
        <w:top w:val="none" w:sz="0" w:space="0" w:color="auto"/>
        <w:left w:val="none" w:sz="0" w:space="0" w:color="auto"/>
        <w:bottom w:val="none" w:sz="0" w:space="0" w:color="auto"/>
        <w:right w:val="none" w:sz="0" w:space="0" w:color="auto"/>
      </w:divBdr>
    </w:div>
    <w:div w:id="1272201432">
      <w:bodyDiv w:val="1"/>
      <w:marLeft w:val="0"/>
      <w:marRight w:val="0"/>
      <w:marTop w:val="0"/>
      <w:marBottom w:val="0"/>
      <w:divBdr>
        <w:top w:val="none" w:sz="0" w:space="0" w:color="auto"/>
        <w:left w:val="none" w:sz="0" w:space="0" w:color="auto"/>
        <w:bottom w:val="none" w:sz="0" w:space="0" w:color="auto"/>
        <w:right w:val="none" w:sz="0" w:space="0" w:color="auto"/>
      </w:divBdr>
    </w:div>
    <w:div w:id="1301040246">
      <w:bodyDiv w:val="1"/>
      <w:marLeft w:val="0"/>
      <w:marRight w:val="0"/>
      <w:marTop w:val="0"/>
      <w:marBottom w:val="0"/>
      <w:divBdr>
        <w:top w:val="none" w:sz="0" w:space="0" w:color="auto"/>
        <w:left w:val="none" w:sz="0" w:space="0" w:color="auto"/>
        <w:bottom w:val="none" w:sz="0" w:space="0" w:color="auto"/>
        <w:right w:val="none" w:sz="0" w:space="0" w:color="auto"/>
      </w:divBdr>
    </w:div>
    <w:div w:id="1349402660">
      <w:bodyDiv w:val="1"/>
      <w:marLeft w:val="0"/>
      <w:marRight w:val="0"/>
      <w:marTop w:val="0"/>
      <w:marBottom w:val="0"/>
      <w:divBdr>
        <w:top w:val="none" w:sz="0" w:space="0" w:color="auto"/>
        <w:left w:val="none" w:sz="0" w:space="0" w:color="auto"/>
        <w:bottom w:val="none" w:sz="0" w:space="0" w:color="auto"/>
        <w:right w:val="none" w:sz="0" w:space="0" w:color="auto"/>
      </w:divBdr>
    </w:div>
    <w:div w:id="1381128606">
      <w:bodyDiv w:val="1"/>
      <w:marLeft w:val="0"/>
      <w:marRight w:val="0"/>
      <w:marTop w:val="0"/>
      <w:marBottom w:val="0"/>
      <w:divBdr>
        <w:top w:val="none" w:sz="0" w:space="0" w:color="auto"/>
        <w:left w:val="none" w:sz="0" w:space="0" w:color="auto"/>
        <w:bottom w:val="none" w:sz="0" w:space="0" w:color="auto"/>
        <w:right w:val="none" w:sz="0" w:space="0" w:color="auto"/>
      </w:divBdr>
    </w:div>
    <w:div w:id="1396053754">
      <w:bodyDiv w:val="1"/>
      <w:marLeft w:val="0"/>
      <w:marRight w:val="0"/>
      <w:marTop w:val="0"/>
      <w:marBottom w:val="0"/>
      <w:divBdr>
        <w:top w:val="none" w:sz="0" w:space="0" w:color="auto"/>
        <w:left w:val="none" w:sz="0" w:space="0" w:color="auto"/>
        <w:bottom w:val="none" w:sz="0" w:space="0" w:color="auto"/>
        <w:right w:val="none" w:sz="0" w:space="0" w:color="auto"/>
      </w:divBdr>
    </w:div>
    <w:div w:id="1462653687">
      <w:bodyDiv w:val="1"/>
      <w:marLeft w:val="0"/>
      <w:marRight w:val="0"/>
      <w:marTop w:val="0"/>
      <w:marBottom w:val="0"/>
      <w:divBdr>
        <w:top w:val="none" w:sz="0" w:space="0" w:color="auto"/>
        <w:left w:val="none" w:sz="0" w:space="0" w:color="auto"/>
        <w:bottom w:val="none" w:sz="0" w:space="0" w:color="auto"/>
        <w:right w:val="none" w:sz="0" w:space="0" w:color="auto"/>
      </w:divBdr>
    </w:div>
    <w:div w:id="1469468388">
      <w:bodyDiv w:val="1"/>
      <w:marLeft w:val="0"/>
      <w:marRight w:val="0"/>
      <w:marTop w:val="0"/>
      <w:marBottom w:val="0"/>
      <w:divBdr>
        <w:top w:val="none" w:sz="0" w:space="0" w:color="auto"/>
        <w:left w:val="none" w:sz="0" w:space="0" w:color="auto"/>
        <w:bottom w:val="none" w:sz="0" w:space="0" w:color="auto"/>
        <w:right w:val="none" w:sz="0" w:space="0" w:color="auto"/>
      </w:divBdr>
    </w:div>
    <w:div w:id="1615747923">
      <w:bodyDiv w:val="1"/>
      <w:marLeft w:val="0"/>
      <w:marRight w:val="0"/>
      <w:marTop w:val="0"/>
      <w:marBottom w:val="0"/>
      <w:divBdr>
        <w:top w:val="none" w:sz="0" w:space="0" w:color="auto"/>
        <w:left w:val="none" w:sz="0" w:space="0" w:color="auto"/>
        <w:bottom w:val="none" w:sz="0" w:space="0" w:color="auto"/>
        <w:right w:val="none" w:sz="0" w:space="0" w:color="auto"/>
      </w:divBdr>
    </w:div>
    <w:div w:id="1628469845">
      <w:bodyDiv w:val="1"/>
      <w:marLeft w:val="0"/>
      <w:marRight w:val="0"/>
      <w:marTop w:val="0"/>
      <w:marBottom w:val="0"/>
      <w:divBdr>
        <w:top w:val="none" w:sz="0" w:space="0" w:color="auto"/>
        <w:left w:val="none" w:sz="0" w:space="0" w:color="auto"/>
        <w:bottom w:val="none" w:sz="0" w:space="0" w:color="auto"/>
        <w:right w:val="none" w:sz="0" w:space="0" w:color="auto"/>
      </w:divBdr>
    </w:div>
    <w:div w:id="1710841209">
      <w:bodyDiv w:val="1"/>
      <w:marLeft w:val="0"/>
      <w:marRight w:val="0"/>
      <w:marTop w:val="0"/>
      <w:marBottom w:val="0"/>
      <w:divBdr>
        <w:top w:val="none" w:sz="0" w:space="0" w:color="auto"/>
        <w:left w:val="none" w:sz="0" w:space="0" w:color="auto"/>
        <w:bottom w:val="none" w:sz="0" w:space="0" w:color="auto"/>
        <w:right w:val="none" w:sz="0" w:space="0" w:color="auto"/>
      </w:divBdr>
    </w:div>
    <w:div w:id="1717969864">
      <w:bodyDiv w:val="1"/>
      <w:marLeft w:val="0"/>
      <w:marRight w:val="0"/>
      <w:marTop w:val="0"/>
      <w:marBottom w:val="0"/>
      <w:divBdr>
        <w:top w:val="none" w:sz="0" w:space="0" w:color="auto"/>
        <w:left w:val="none" w:sz="0" w:space="0" w:color="auto"/>
        <w:bottom w:val="none" w:sz="0" w:space="0" w:color="auto"/>
        <w:right w:val="none" w:sz="0" w:space="0" w:color="auto"/>
      </w:divBdr>
    </w:div>
    <w:div w:id="1848322045">
      <w:bodyDiv w:val="1"/>
      <w:marLeft w:val="0"/>
      <w:marRight w:val="0"/>
      <w:marTop w:val="0"/>
      <w:marBottom w:val="0"/>
      <w:divBdr>
        <w:top w:val="none" w:sz="0" w:space="0" w:color="auto"/>
        <w:left w:val="none" w:sz="0" w:space="0" w:color="auto"/>
        <w:bottom w:val="none" w:sz="0" w:space="0" w:color="auto"/>
        <w:right w:val="none" w:sz="0" w:space="0" w:color="auto"/>
      </w:divBdr>
    </w:div>
    <w:div w:id="1881437630">
      <w:bodyDiv w:val="1"/>
      <w:marLeft w:val="0"/>
      <w:marRight w:val="0"/>
      <w:marTop w:val="0"/>
      <w:marBottom w:val="0"/>
      <w:divBdr>
        <w:top w:val="none" w:sz="0" w:space="0" w:color="auto"/>
        <w:left w:val="none" w:sz="0" w:space="0" w:color="auto"/>
        <w:bottom w:val="none" w:sz="0" w:space="0" w:color="auto"/>
        <w:right w:val="none" w:sz="0" w:space="0" w:color="auto"/>
      </w:divBdr>
    </w:div>
    <w:div w:id="1957061100">
      <w:bodyDiv w:val="1"/>
      <w:marLeft w:val="0"/>
      <w:marRight w:val="0"/>
      <w:marTop w:val="0"/>
      <w:marBottom w:val="0"/>
      <w:divBdr>
        <w:top w:val="none" w:sz="0" w:space="0" w:color="auto"/>
        <w:left w:val="none" w:sz="0" w:space="0" w:color="auto"/>
        <w:bottom w:val="none" w:sz="0" w:space="0" w:color="auto"/>
        <w:right w:val="none" w:sz="0" w:space="0" w:color="auto"/>
      </w:divBdr>
    </w:div>
    <w:div w:id="1989748412">
      <w:bodyDiv w:val="1"/>
      <w:marLeft w:val="0"/>
      <w:marRight w:val="0"/>
      <w:marTop w:val="0"/>
      <w:marBottom w:val="0"/>
      <w:divBdr>
        <w:top w:val="none" w:sz="0" w:space="0" w:color="auto"/>
        <w:left w:val="none" w:sz="0" w:space="0" w:color="auto"/>
        <w:bottom w:val="none" w:sz="0" w:space="0" w:color="auto"/>
        <w:right w:val="none" w:sz="0" w:space="0" w:color="auto"/>
      </w:divBdr>
    </w:div>
    <w:div w:id="1993676741">
      <w:bodyDiv w:val="1"/>
      <w:marLeft w:val="0"/>
      <w:marRight w:val="0"/>
      <w:marTop w:val="0"/>
      <w:marBottom w:val="0"/>
      <w:divBdr>
        <w:top w:val="none" w:sz="0" w:space="0" w:color="auto"/>
        <w:left w:val="none" w:sz="0" w:space="0" w:color="auto"/>
        <w:bottom w:val="none" w:sz="0" w:space="0" w:color="auto"/>
        <w:right w:val="none" w:sz="0" w:space="0" w:color="auto"/>
      </w:divBdr>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
    <w:div w:id="2015523213">
      <w:bodyDiv w:val="1"/>
      <w:marLeft w:val="0"/>
      <w:marRight w:val="0"/>
      <w:marTop w:val="0"/>
      <w:marBottom w:val="0"/>
      <w:divBdr>
        <w:top w:val="none" w:sz="0" w:space="0" w:color="auto"/>
        <w:left w:val="none" w:sz="0" w:space="0" w:color="auto"/>
        <w:bottom w:val="none" w:sz="0" w:space="0" w:color="auto"/>
        <w:right w:val="none" w:sz="0" w:space="0" w:color="auto"/>
      </w:divBdr>
    </w:div>
    <w:div w:id="2035032182">
      <w:bodyDiv w:val="1"/>
      <w:marLeft w:val="0"/>
      <w:marRight w:val="0"/>
      <w:marTop w:val="0"/>
      <w:marBottom w:val="0"/>
      <w:divBdr>
        <w:top w:val="none" w:sz="0" w:space="0" w:color="auto"/>
        <w:left w:val="none" w:sz="0" w:space="0" w:color="auto"/>
        <w:bottom w:val="none" w:sz="0" w:space="0" w:color="auto"/>
        <w:right w:val="none" w:sz="0" w:space="0" w:color="auto"/>
      </w:divBdr>
    </w:div>
    <w:div w:id="2039811302">
      <w:bodyDiv w:val="1"/>
      <w:marLeft w:val="0"/>
      <w:marRight w:val="0"/>
      <w:marTop w:val="0"/>
      <w:marBottom w:val="0"/>
      <w:divBdr>
        <w:top w:val="none" w:sz="0" w:space="0" w:color="auto"/>
        <w:left w:val="none" w:sz="0" w:space="0" w:color="auto"/>
        <w:bottom w:val="none" w:sz="0" w:space="0" w:color="auto"/>
        <w:right w:val="none" w:sz="0" w:space="0" w:color="auto"/>
      </w:divBdr>
    </w:div>
    <w:div w:id="20850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4</cp:revision>
  <cp:lastPrinted>2017-11-15T13:33:00Z</cp:lastPrinted>
  <dcterms:created xsi:type="dcterms:W3CDTF">2018-02-15T13:37:00Z</dcterms:created>
  <dcterms:modified xsi:type="dcterms:W3CDTF">2018-02-15T14:31:00Z</dcterms:modified>
</cp:coreProperties>
</file>