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2D" w:rsidRPr="00C81F2D" w:rsidRDefault="00C81F2D" w:rsidP="00C81F2D">
      <w:pPr>
        <w:pStyle w:val="NoSpacing"/>
      </w:pPr>
      <w:r>
        <w:rPr>
          <w:noProof/>
          <w:lang w:eastAsia="en-GB"/>
        </w:rPr>
        <w:drawing>
          <wp:inline distT="0" distB="0" distL="0" distR="0" wp14:anchorId="79B435D8" wp14:editId="1182A4D8">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8">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rsidR="00C81F2D" w:rsidRPr="00C81F2D" w:rsidRDefault="00C81F2D" w:rsidP="00C81F2D"/>
    <w:p w:rsidR="00C81F2D" w:rsidRDefault="00C81F2D" w:rsidP="00C81F2D"/>
    <w:p w:rsidR="00812DFF" w:rsidRDefault="00812DFF" w:rsidP="00C81F2D"/>
    <w:p w:rsidR="00812DFF" w:rsidRDefault="00812DFF" w:rsidP="00C81F2D"/>
    <w:p w:rsidR="00812DFF" w:rsidRPr="00C81F2D" w:rsidRDefault="00812DFF" w:rsidP="00C81F2D"/>
    <w:p w:rsidR="00C81F2D" w:rsidRDefault="00C81F2D" w:rsidP="002A2799">
      <w:pPr>
        <w:pStyle w:val="Heading2"/>
      </w:pPr>
      <w:r>
        <w:t xml:space="preserve">Quality Assurance </w:t>
      </w:r>
      <w:r w:rsidR="00AA00A8">
        <w:t>Criteria</w:t>
      </w:r>
      <w:r>
        <w:t xml:space="preserve"> 2015–18</w:t>
      </w:r>
    </w:p>
    <w:p w:rsidR="00F02C81" w:rsidRDefault="00F02C81" w:rsidP="00F02C81">
      <w:pPr>
        <w:pStyle w:val="Heading1"/>
      </w:pPr>
      <w:r>
        <w:t>Enhanced guidance on meeting quality assurance criterion 1.6</w:t>
      </w:r>
    </w:p>
    <w:p w:rsidR="00F02C81" w:rsidRPr="00F02C81" w:rsidRDefault="00F02C81" w:rsidP="00F02C81"/>
    <w:p w:rsidR="00065011" w:rsidRPr="00CE0C33" w:rsidRDefault="00065011" w:rsidP="00065011">
      <w:pPr>
        <w:rPr>
          <w:b/>
        </w:rPr>
      </w:pPr>
      <w:r w:rsidRPr="00CE0C33">
        <w:rPr>
          <w:b/>
        </w:rPr>
        <w:t xml:space="preserve">No-one with a personal interest in the outcome of an assessment is to be involved in the assessment process. This includes assessors, </w:t>
      </w:r>
      <w:r>
        <w:rPr>
          <w:b/>
        </w:rPr>
        <w:t>internal verifier</w:t>
      </w:r>
      <w:r w:rsidRPr="00CE0C33">
        <w:rPr>
          <w:b/>
        </w:rPr>
        <w:t>s and invigilators.</w:t>
      </w:r>
    </w:p>
    <w:p w:rsidR="00BA1644" w:rsidRDefault="00BA1644" w:rsidP="003C7DA9">
      <w:pPr>
        <w:rPr>
          <w:b/>
        </w:rPr>
      </w:pPr>
    </w:p>
    <w:p w:rsidR="00BA1644" w:rsidRDefault="00BA1644" w:rsidP="003C7DA9">
      <w:pPr>
        <w:rPr>
          <w:b/>
        </w:rPr>
      </w:pPr>
    </w:p>
    <w:p w:rsidR="0098384F" w:rsidRDefault="0098384F" w:rsidP="003C7DA9">
      <w:pPr>
        <w:rPr>
          <w:b/>
        </w:rPr>
      </w:pPr>
    </w:p>
    <w:p w:rsidR="0098384F" w:rsidRDefault="0098384F" w:rsidP="003C7DA9">
      <w:pPr>
        <w:rPr>
          <w:b/>
        </w:rPr>
      </w:pPr>
    </w:p>
    <w:p w:rsidR="0098384F" w:rsidRDefault="0098384F" w:rsidP="003C7DA9">
      <w:pPr>
        <w:rPr>
          <w:b/>
        </w:rPr>
      </w:pPr>
    </w:p>
    <w:p w:rsidR="0098384F" w:rsidRDefault="0098384F" w:rsidP="003C7DA9">
      <w:pPr>
        <w:rPr>
          <w:b/>
        </w:rPr>
      </w:pPr>
    </w:p>
    <w:p w:rsidR="0098384F" w:rsidRDefault="0098384F" w:rsidP="003C7DA9">
      <w:pPr>
        <w:rPr>
          <w:b/>
        </w:rPr>
      </w:pPr>
    </w:p>
    <w:p w:rsidR="0098384F" w:rsidRPr="006D2995" w:rsidRDefault="0098384F" w:rsidP="0098384F">
      <w:pPr>
        <w:pStyle w:val="NoSpace"/>
      </w:pPr>
      <w:r w:rsidRPr="006D2995">
        <w:lastRenderedPageBreak/>
        <w:t xml:space="preserve">This edition: </w:t>
      </w:r>
      <w:r w:rsidR="00AA00A8">
        <w:t>March 2018</w:t>
      </w:r>
    </w:p>
    <w:p w:rsidR="0098384F" w:rsidRPr="006D2995" w:rsidRDefault="0098384F" w:rsidP="0098384F">
      <w:pPr>
        <w:pStyle w:val="NoSpace"/>
      </w:pPr>
      <w:r w:rsidRPr="006D2995">
        <w:t xml:space="preserve">Publication code: </w:t>
      </w:r>
      <w:r>
        <w:t>C</w:t>
      </w:r>
      <w:r w:rsidRPr="006D2995">
        <w:t>A</w:t>
      </w:r>
      <w:r>
        <w:t>7202B</w:t>
      </w:r>
    </w:p>
    <w:p w:rsidR="0098384F" w:rsidRPr="006D2995" w:rsidRDefault="0098384F" w:rsidP="0098384F">
      <w:pPr>
        <w:pStyle w:val="NoSpace"/>
      </w:pPr>
    </w:p>
    <w:p w:rsidR="0098384F" w:rsidRPr="006D2995" w:rsidRDefault="0098384F" w:rsidP="0098384F">
      <w:pPr>
        <w:pStyle w:val="NoSpace"/>
      </w:pPr>
      <w:r w:rsidRPr="006D2995">
        <w:t>Published by the Scottish Qualifications Authority</w:t>
      </w:r>
    </w:p>
    <w:p w:rsidR="0098384F" w:rsidRPr="006D2995" w:rsidRDefault="0098384F" w:rsidP="0098384F">
      <w:pPr>
        <w:pStyle w:val="NoSpace"/>
      </w:pPr>
      <w:r w:rsidRPr="006D2995">
        <w:t>The Optima Building, 58 Robertson Street, Glasgow G2 8DQ</w:t>
      </w:r>
    </w:p>
    <w:p w:rsidR="0098384F" w:rsidRPr="006D2995" w:rsidRDefault="0098384F" w:rsidP="0098384F">
      <w:pPr>
        <w:pStyle w:val="NoSpace"/>
      </w:pPr>
      <w:r w:rsidRPr="006D2995">
        <w:t>Lowden, 24 Wester Shawfair, Dalkeith, EH22 1FD</w:t>
      </w:r>
    </w:p>
    <w:p w:rsidR="0098384F" w:rsidRPr="006D2995" w:rsidRDefault="00AA00A8" w:rsidP="0098384F">
      <w:pPr>
        <w:pStyle w:val="NoSpace"/>
      </w:pPr>
      <w:hyperlink r:id="rId9" w:history="1">
        <w:r w:rsidR="0098384F" w:rsidRPr="006D2995">
          <w:rPr>
            <w:rStyle w:val="Hyperlink"/>
          </w:rPr>
          <w:t>www.sqa.org.uk</w:t>
        </w:r>
      </w:hyperlink>
    </w:p>
    <w:p w:rsidR="0098384F" w:rsidRPr="006D2995" w:rsidRDefault="0098384F" w:rsidP="0098384F">
      <w:pPr>
        <w:pStyle w:val="NoSpace"/>
      </w:pPr>
    </w:p>
    <w:p w:rsidR="0098384F" w:rsidRPr="006D2995" w:rsidRDefault="0098384F" w:rsidP="0098384F">
      <w:pPr>
        <w:pStyle w:val="NoSpace"/>
      </w:pPr>
      <w:r w:rsidRPr="006D2995">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rsidR="0098384F" w:rsidRPr="006D2995" w:rsidRDefault="0098384F" w:rsidP="0098384F">
      <w:pPr>
        <w:pStyle w:val="NoSpace"/>
      </w:pPr>
    </w:p>
    <w:p w:rsidR="00BA1644" w:rsidRPr="0098384F" w:rsidRDefault="0098384F" w:rsidP="0098384F">
      <w:pPr>
        <w:pStyle w:val="NoSpace"/>
      </w:pPr>
      <w:r w:rsidRPr="006D2995">
        <w:t>© Scottish Q</w:t>
      </w:r>
      <w:r>
        <w:t>ualifications Authority 2016</w:t>
      </w:r>
    </w:p>
    <w:p w:rsidR="00F02C81" w:rsidRDefault="00F02C81" w:rsidP="003C7DA9">
      <w:pPr>
        <w:rPr>
          <w:b/>
        </w:rPr>
      </w:pPr>
      <w:r>
        <w:rPr>
          <w:b/>
        </w:rPr>
        <w:br w:type="page"/>
      </w:r>
    </w:p>
    <w:p w:rsidR="00F02C81" w:rsidRDefault="00F02C81" w:rsidP="00F02C81">
      <w:pPr>
        <w:pStyle w:val="Heading4"/>
      </w:pPr>
      <w:r>
        <w:lastRenderedPageBreak/>
        <w:t>Introduction to your procedures</w:t>
      </w:r>
    </w:p>
    <w:p w:rsidR="00F02C81" w:rsidRDefault="00065011" w:rsidP="00F02C81">
      <w:r>
        <w:t>Your procedures must s</w:t>
      </w:r>
      <w:r w:rsidR="00F02C81">
        <w:t xml:space="preserve">tate that a personal interest in the outcome of an assessment amounts to conflict of interest, which poses a risk to the integrity of assessment. </w:t>
      </w:r>
      <w:r>
        <w:t>They should also indicate that a</w:t>
      </w:r>
      <w:r w:rsidR="00F02C81">
        <w:t xml:space="preserve">ll staff must take responsibility for reporting any personal interest and </w:t>
      </w:r>
      <w:r>
        <w:t xml:space="preserve">that </w:t>
      </w:r>
      <w:r w:rsidR="00F02C81">
        <w:t>your organisation will take steps to address this. This includes assessors, interna</w:t>
      </w:r>
      <w:r w:rsidR="00BF7B26">
        <w:t>l verifiers and invigilators (i</w:t>
      </w:r>
      <w:r w:rsidR="00F02C81">
        <w:t>e staff supervising assessments under controlled conditions).</w:t>
      </w:r>
    </w:p>
    <w:p w:rsidR="00F02C81" w:rsidRDefault="00F02C81" w:rsidP="00F02C81"/>
    <w:p w:rsidR="00F02C81" w:rsidRDefault="00F02C81" w:rsidP="00F02C81">
      <w:r>
        <w:t>State how you will disseminate this information to staff. Records of acknowledgement of receipt and understanding of th</w:t>
      </w:r>
      <w:r w:rsidR="00BF7B26">
        <w:t xml:space="preserve">is information </w:t>
      </w:r>
      <w:r w:rsidR="00CF06DF">
        <w:t xml:space="preserve">by new staff </w:t>
      </w:r>
      <w:r w:rsidR="00BF7B26">
        <w:t>should be kept, eg</w:t>
      </w:r>
      <w:r>
        <w:t xml:space="preserve"> contracts, signed induction checklists.</w:t>
      </w:r>
      <w:r w:rsidR="00CF06DF">
        <w:t xml:space="preserve"> Existing staff should be made aware of this procedure through your established mechanisms for disseminating policies and procedures and keeping them updated. </w:t>
      </w:r>
    </w:p>
    <w:p w:rsidR="00F02C81" w:rsidRDefault="00F02C81" w:rsidP="00F02C81"/>
    <w:p w:rsidR="00F02C81" w:rsidRDefault="00F02C81" w:rsidP="00F02C81">
      <w:pPr>
        <w:pStyle w:val="Heading4"/>
      </w:pPr>
      <w:r>
        <w:t>Declaring conflicts of interest</w:t>
      </w:r>
    </w:p>
    <w:p w:rsidR="00F02C81" w:rsidRDefault="00F02C81" w:rsidP="00F02C81">
      <w:r>
        <w:t>Staff should make a declaration if they are related to</w:t>
      </w:r>
      <w:r w:rsidR="00BF7B26">
        <w:t>,</w:t>
      </w:r>
      <w:r>
        <w:t xml:space="preserve"> or have a personal relationship with</w:t>
      </w:r>
      <w:r w:rsidR="00BF7B26">
        <w:t>,</w:t>
      </w:r>
      <w:r>
        <w:t xml:space="preserve"> a candidate, and are currently deployed to:</w:t>
      </w:r>
    </w:p>
    <w:p w:rsidR="00F02C81" w:rsidRDefault="00F02C81" w:rsidP="00F02C81"/>
    <w:p w:rsidR="00F02C81" w:rsidRDefault="00BF7B26" w:rsidP="00F02C81">
      <w:pPr>
        <w:pStyle w:val="bullet"/>
      </w:pPr>
      <w:r>
        <w:t>set assessments which this candidate will undertake</w:t>
      </w:r>
    </w:p>
    <w:p w:rsidR="00F02C81" w:rsidRDefault="00BF7B26" w:rsidP="00F02C81">
      <w:pPr>
        <w:pStyle w:val="bullet"/>
      </w:pPr>
      <w:r>
        <w:t>make assessment judgements on this candidate’s evidence</w:t>
      </w:r>
    </w:p>
    <w:p w:rsidR="00F02C81" w:rsidRDefault="00BF7B26" w:rsidP="00F02C81">
      <w:pPr>
        <w:pStyle w:val="bullet"/>
      </w:pPr>
      <w:r>
        <w:t>internally verify assessment decisions on this candidate’s work</w:t>
      </w:r>
    </w:p>
    <w:p w:rsidR="00F02C81" w:rsidRDefault="00BF7B26" w:rsidP="00F02C81">
      <w:pPr>
        <w:pStyle w:val="bullet"/>
      </w:pPr>
      <w:r>
        <w:t>invi</w:t>
      </w:r>
      <w:r w:rsidR="00F02C81">
        <w:t>gilate an assessment which this candidate is sitting</w:t>
      </w:r>
    </w:p>
    <w:p w:rsidR="00F02C81" w:rsidRDefault="00F02C81" w:rsidP="00F02C81"/>
    <w:p w:rsidR="00F02C81" w:rsidRDefault="00F02C81" w:rsidP="00F02C81">
      <w:r>
        <w:t xml:space="preserve">State how staff </w:t>
      </w:r>
      <w:r w:rsidR="00D82496">
        <w:t xml:space="preserve">in your organisation </w:t>
      </w:r>
      <w:r>
        <w:t>should report conflicts of interest, eg to their line manager, to the Quality Manager/SQA Co-ordinator.</w:t>
      </w:r>
    </w:p>
    <w:p w:rsidR="00F02C81" w:rsidRDefault="00F02C81" w:rsidP="00F02C81"/>
    <w:p w:rsidR="00F02C81" w:rsidRDefault="00F02C81" w:rsidP="00F02C81">
      <w:r>
        <w:t>You may wish to provide a form for this (see Appendix 1).</w:t>
      </w:r>
    </w:p>
    <w:p w:rsidR="00F02C81" w:rsidRDefault="00F02C81" w:rsidP="00F02C81"/>
    <w:p w:rsidR="00F02C81" w:rsidRDefault="00F02C81" w:rsidP="00F02C81">
      <w:pPr>
        <w:pStyle w:val="Heading4"/>
      </w:pPr>
      <w:r>
        <w:t>Addressing conflicts of interest</w:t>
      </w:r>
    </w:p>
    <w:p w:rsidR="00F02C81" w:rsidRDefault="00F02C81" w:rsidP="00F02C81">
      <w:r>
        <w:t>The manager to whom the conflict of interest is reported (or to whom they refer it) should decide on a suitable action to address the conflict of interest, if th</w:t>
      </w:r>
      <w:r w:rsidR="00BF7B26">
        <w:t>ey feel that this is required, eg</w:t>
      </w:r>
      <w:r>
        <w:t xml:space="preserve"> move the candidate into another group, change assessor/IV/invigilator, include the candidate in samples for verification, </w:t>
      </w:r>
      <w:r w:rsidR="00BF7B26">
        <w:t xml:space="preserve">or </w:t>
      </w:r>
      <w:r>
        <w:t xml:space="preserve">have the assessment marking supervised or re-marked. The decision and agreed action must be </w:t>
      </w:r>
      <w:bookmarkStart w:id="0" w:name="_GoBack"/>
      <w:bookmarkEnd w:id="0"/>
      <w:r>
        <w:t>recorded.</w:t>
      </w:r>
    </w:p>
    <w:p w:rsidR="00F02C81" w:rsidRDefault="00F02C81" w:rsidP="00F02C81"/>
    <w:p w:rsidR="00F02C81" w:rsidRDefault="00F02C81" w:rsidP="00F02C81">
      <w:pPr>
        <w:pStyle w:val="Heading4"/>
      </w:pPr>
      <w:r>
        <w:t>Record retention</w:t>
      </w:r>
    </w:p>
    <w:p w:rsidR="00F02C81" w:rsidRDefault="00F02C81" w:rsidP="00F02C81">
      <w:r>
        <w:t>Copies of documentation should be retained for a year after completion of the assessments in question, including details of the action taken to address the conflict of interest.</w:t>
      </w:r>
    </w:p>
    <w:p w:rsidR="00F02C81" w:rsidRDefault="00F02C81" w:rsidP="00F02C81"/>
    <w:p w:rsidR="00F02C81" w:rsidRDefault="00F02C81" w:rsidP="00F02C81">
      <w:r>
        <w:br w:type="page"/>
      </w:r>
    </w:p>
    <w:p w:rsidR="00BF7B26" w:rsidRDefault="00F02C81" w:rsidP="00F02C81">
      <w:pPr>
        <w:pStyle w:val="Heading4"/>
      </w:pPr>
      <w:r>
        <w:lastRenderedPageBreak/>
        <w:t>Appendix 1</w:t>
      </w:r>
    </w:p>
    <w:p w:rsidR="00BF7B26" w:rsidRPr="00BF7B26" w:rsidRDefault="00BF7B26" w:rsidP="00BF7B26">
      <w:pPr>
        <w:rPr>
          <w:lang w:eastAsia="en-GB"/>
        </w:rPr>
      </w:pPr>
    </w:p>
    <w:p w:rsidR="00F02C81" w:rsidRDefault="00F02C81" w:rsidP="00BF7B26">
      <w:pPr>
        <w:pStyle w:val="Heading5"/>
      </w:pPr>
      <w:r w:rsidRPr="00F02C81">
        <w:t>Declaration of conflict of interest in an assessment</w:t>
      </w:r>
    </w:p>
    <w:p w:rsidR="00F02C81" w:rsidRDefault="00F02C81" w:rsidP="00F02C81">
      <w:r>
        <w:t>The following example shows the type of information which should be included on a declaration- of-interest form. You may adapt this for use in your organisation.</w:t>
      </w:r>
    </w:p>
    <w:p w:rsidR="00F02C81" w:rsidRDefault="00F02C81" w:rsidP="00F02C81"/>
    <w:p w:rsidR="00F02C81" w:rsidRDefault="00F02C81" w:rsidP="00F02C81"/>
    <w:p w:rsidR="00F02C81" w:rsidRDefault="00F02C81" w:rsidP="00F02C81">
      <w:r>
        <w:t>Name of assessor/internal verifier/invigilator</w:t>
      </w:r>
    </w:p>
    <w:p w:rsidR="00F02C81" w:rsidRDefault="00F02C81" w:rsidP="00F02C81"/>
    <w:p w:rsidR="00F02C81" w:rsidRDefault="00F02C81" w:rsidP="00F02C81">
      <w:r>
        <w:t>Name of candidate</w:t>
      </w:r>
    </w:p>
    <w:p w:rsidR="00F02C81" w:rsidRDefault="00F02C81" w:rsidP="00F02C81"/>
    <w:p w:rsidR="00F02C81" w:rsidRDefault="00F02C81" w:rsidP="00F02C81">
      <w:r>
        <w:t>Candidate number</w:t>
      </w:r>
    </w:p>
    <w:p w:rsidR="00F02C81" w:rsidRDefault="00F02C81" w:rsidP="00F02C81"/>
    <w:p w:rsidR="00F02C81" w:rsidRDefault="00F02C81" w:rsidP="00F02C81">
      <w:r>
        <w:t>Qualification the candidate is undertaking</w:t>
      </w:r>
    </w:p>
    <w:p w:rsidR="00F02C81" w:rsidRDefault="00F02C81" w:rsidP="00F02C81"/>
    <w:p w:rsidR="00F02C81" w:rsidRDefault="00F02C81" w:rsidP="00F02C81">
      <w:r>
        <w:t>Unit(s) involved</w:t>
      </w:r>
    </w:p>
    <w:p w:rsidR="00F02C81" w:rsidRDefault="00F02C81" w:rsidP="00F02C81"/>
    <w:p w:rsidR="00F02C81" w:rsidRDefault="00F02C81" w:rsidP="00F02C81">
      <w:r>
        <w:t>Assessment(s) involved</w:t>
      </w:r>
    </w:p>
    <w:p w:rsidR="00F02C81" w:rsidRDefault="00F02C81" w:rsidP="00F02C81"/>
    <w:p w:rsidR="00F02C81" w:rsidRDefault="00F02C81" w:rsidP="00F02C81">
      <w:r>
        <w:t>Nature of relationship to candidate</w:t>
      </w:r>
    </w:p>
    <w:p w:rsidR="00F02C81" w:rsidRDefault="00F02C81" w:rsidP="00F02C81"/>
    <w:p w:rsidR="00F02C81" w:rsidRDefault="00F02C81" w:rsidP="00F02C81"/>
    <w:p w:rsidR="00F02C81" w:rsidRDefault="00F02C81" w:rsidP="00F02C81">
      <w:r>
        <w:t>Signature of assessor/internal verifier/invigilator</w:t>
      </w:r>
    </w:p>
    <w:p w:rsidR="00F02C81" w:rsidRDefault="00F02C81" w:rsidP="00F02C81"/>
    <w:p w:rsidR="00F02C81" w:rsidRDefault="00F02C81" w:rsidP="00F02C81">
      <w:r>
        <w:t>Date</w:t>
      </w:r>
    </w:p>
    <w:p w:rsidR="00F02C81" w:rsidRDefault="00F02C81" w:rsidP="00F02C81"/>
    <w:p w:rsidR="00F02C81" w:rsidRDefault="00F02C81" w:rsidP="00F02C81"/>
    <w:p w:rsidR="00F02C81" w:rsidRDefault="00F02C81" w:rsidP="00F02C81"/>
    <w:p w:rsidR="00F02C81" w:rsidRDefault="00F02C81" w:rsidP="00F02C81">
      <w:pPr>
        <w:pStyle w:val="Heading5"/>
      </w:pPr>
      <w:r>
        <w:t>Manager review and declaration</w:t>
      </w:r>
    </w:p>
    <w:p w:rsidR="00F02C81" w:rsidRDefault="00F02C81" w:rsidP="00F02C81">
      <w:r>
        <w:t>I have reviewed the above declaration and noted the issue raised, but have decided that no action is required.</w:t>
      </w:r>
    </w:p>
    <w:p w:rsidR="00F02C81" w:rsidRDefault="00F02C81" w:rsidP="00F02C81"/>
    <w:p w:rsidR="00F02C81" w:rsidRPr="00F02C81" w:rsidRDefault="00F02C81" w:rsidP="00F02C81">
      <w:pPr>
        <w:rPr>
          <w:i/>
        </w:rPr>
      </w:pPr>
      <w:r w:rsidRPr="00F02C81">
        <w:rPr>
          <w:i/>
        </w:rPr>
        <w:lastRenderedPageBreak/>
        <w:t>or</w:t>
      </w:r>
    </w:p>
    <w:p w:rsidR="00F02C81" w:rsidRDefault="00F02C81" w:rsidP="00F02C81"/>
    <w:p w:rsidR="00F02C81" w:rsidRDefault="00F02C81" w:rsidP="00F02C81">
      <w:r>
        <w:t>I have reviewed the above declaration and recommend the following action to be taken to ad</w:t>
      </w:r>
      <w:r w:rsidR="00BF7B26">
        <w:t>dress the declared conflict: (eg</w:t>
      </w:r>
      <w:r>
        <w:t xml:space="preserve"> move the candidate into another group, change assessor/IV/invigilator, include the candidate in samples for verification, have the assessment marking supervised or re-marked). </w:t>
      </w:r>
    </w:p>
    <w:p w:rsidR="00F02C81" w:rsidRDefault="00F02C81" w:rsidP="00F02C81"/>
    <w:p w:rsidR="00F02C81" w:rsidRDefault="00F02C81" w:rsidP="00F02C81"/>
    <w:p w:rsidR="00F02C81" w:rsidRDefault="00F02C81" w:rsidP="00F02C81">
      <w:r>
        <w:t>Signature of manager</w:t>
      </w:r>
    </w:p>
    <w:p w:rsidR="00F02C81" w:rsidRDefault="00F02C81" w:rsidP="00F02C81"/>
    <w:p w:rsidR="00F02C81" w:rsidRDefault="00F02C81" w:rsidP="00F02C81">
      <w:r>
        <w:t>Date</w:t>
      </w:r>
    </w:p>
    <w:p w:rsidR="00BA1644" w:rsidRPr="00F02C81" w:rsidRDefault="00BA1644" w:rsidP="00F02C81"/>
    <w:sectPr w:rsidR="00BA1644" w:rsidRPr="00F02C81" w:rsidSect="0098384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05" w:rsidRDefault="00CA4D05">
      <w:r>
        <w:separator/>
      </w:r>
    </w:p>
  </w:endnote>
  <w:endnote w:type="continuationSeparator" w:id="0">
    <w:p w:rsidR="00CA4D05" w:rsidRDefault="00C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63" w:rsidRDefault="00DF0EB2" w:rsidP="004004E3">
    <w:pPr>
      <w:pStyle w:val="Footer"/>
      <w:rPr>
        <w:rStyle w:val="PageNumber"/>
      </w:rPr>
    </w:pPr>
    <w:r>
      <w:rPr>
        <w:rStyle w:val="PageNumber"/>
      </w:rPr>
      <w:fldChar w:fldCharType="begin"/>
    </w:r>
    <w:r w:rsidR="00522363">
      <w:rPr>
        <w:rStyle w:val="PageNumber"/>
      </w:rPr>
      <w:instrText xml:space="preserve">PAGE  </w:instrText>
    </w:r>
    <w:r>
      <w:rPr>
        <w:rStyle w:val="PageNumber"/>
      </w:rPr>
      <w:fldChar w:fldCharType="end"/>
    </w:r>
  </w:p>
  <w:p w:rsidR="00522363" w:rsidRDefault="00522363" w:rsidP="0040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53138"/>
      <w:docPartObj>
        <w:docPartGallery w:val="Page Numbers (Bottom of Page)"/>
        <w:docPartUnique/>
      </w:docPartObj>
    </w:sdtPr>
    <w:sdtEndPr>
      <w:rPr>
        <w:noProof/>
      </w:rPr>
    </w:sdtEndPr>
    <w:sdtContent>
      <w:p w:rsidR="00522363" w:rsidRPr="004004E3" w:rsidRDefault="00FD0542" w:rsidP="004004E3">
        <w:pPr>
          <w:pStyle w:val="Footer"/>
        </w:pPr>
        <w:r w:rsidRPr="004004E3">
          <w:t xml:space="preserve">© Scottish Qualifications Authority </w:t>
        </w:r>
        <w:r w:rsidR="00CF06DF">
          <w:t xml:space="preserve">August </w:t>
        </w:r>
        <w:r w:rsidRPr="004004E3">
          <w:t>2016</w:t>
        </w:r>
        <w:r w:rsidR="00812DFF" w:rsidRPr="004004E3">
          <w:t xml:space="preserve"> (version 1.</w:t>
        </w:r>
        <w:r w:rsidR="00CF06DF">
          <w:t>1</w:t>
        </w:r>
        <w:r w:rsidR="00812DFF" w:rsidRPr="004004E3">
          <w:t>)</w:t>
        </w:r>
        <w:r w:rsidRPr="004004E3">
          <w:tab/>
        </w:r>
        <w:r w:rsidRPr="004004E3">
          <w:fldChar w:fldCharType="begin"/>
        </w:r>
        <w:r w:rsidRPr="004004E3">
          <w:instrText xml:space="preserve"> PAGE   \* MERGEFORMAT </w:instrText>
        </w:r>
        <w:r w:rsidRPr="004004E3">
          <w:fldChar w:fldCharType="separate"/>
        </w:r>
        <w:r w:rsidR="00AA00A8">
          <w:rPr>
            <w:noProof/>
          </w:rPr>
          <w:t>2</w:t>
        </w:r>
        <w:r w:rsidRPr="004004E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05" w:rsidRDefault="00CA4D05">
      <w:r>
        <w:separator/>
      </w:r>
    </w:p>
  </w:footnote>
  <w:footnote w:type="continuationSeparator" w:id="0">
    <w:p w:rsidR="00CA4D05" w:rsidRDefault="00CA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2D"/>
    <w:rsid w:val="0000570F"/>
    <w:rsid w:val="0000779B"/>
    <w:rsid w:val="00015980"/>
    <w:rsid w:val="00040105"/>
    <w:rsid w:val="00065011"/>
    <w:rsid w:val="00071450"/>
    <w:rsid w:val="00076922"/>
    <w:rsid w:val="00081B4C"/>
    <w:rsid w:val="000A7B44"/>
    <w:rsid w:val="000B1EC6"/>
    <w:rsid w:val="000B6804"/>
    <w:rsid w:val="000C3DBD"/>
    <w:rsid w:val="000E0C25"/>
    <w:rsid w:val="00100588"/>
    <w:rsid w:val="001018FF"/>
    <w:rsid w:val="001065EC"/>
    <w:rsid w:val="00121597"/>
    <w:rsid w:val="00145BA5"/>
    <w:rsid w:val="001553EB"/>
    <w:rsid w:val="00173A82"/>
    <w:rsid w:val="00174B17"/>
    <w:rsid w:val="00177E65"/>
    <w:rsid w:val="00187E26"/>
    <w:rsid w:val="001C48E3"/>
    <w:rsid w:val="001F3EFF"/>
    <w:rsid w:val="002158DC"/>
    <w:rsid w:val="00232794"/>
    <w:rsid w:val="00236AC5"/>
    <w:rsid w:val="00245354"/>
    <w:rsid w:val="002508E1"/>
    <w:rsid w:val="00266396"/>
    <w:rsid w:val="00277970"/>
    <w:rsid w:val="002A2799"/>
    <w:rsid w:val="002A5ACD"/>
    <w:rsid w:val="002E3C69"/>
    <w:rsid w:val="00302B53"/>
    <w:rsid w:val="00310691"/>
    <w:rsid w:val="00315BFA"/>
    <w:rsid w:val="00361299"/>
    <w:rsid w:val="00365FE5"/>
    <w:rsid w:val="00371800"/>
    <w:rsid w:val="00380624"/>
    <w:rsid w:val="00381727"/>
    <w:rsid w:val="00386B85"/>
    <w:rsid w:val="003A573A"/>
    <w:rsid w:val="003B0505"/>
    <w:rsid w:val="003B622F"/>
    <w:rsid w:val="003C38EB"/>
    <w:rsid w:val="003C7DA9"/>
    <w:rsid w:val="004004E3"/>
    <w:rsid w:val="0040064A"/>
    <w:rsid w:val="00401C00"/>
    <w:rsid w:val="00420C3C"/>
    <w:rsid w:val="004277FA"/>
    <w:rsid w:val="00427969"/>
    <w:rsid w:val="00463454"/>
    <w:rsid w:val="00481F6D"/>
    <w:rsid w:val="004956B1"/>
    <w:rsid w:val="004A2308"/>
    <w:rsid w:val="004A31F3"/>
    <w:rsid w:val="004A6E61"/>
    <w:rsid w:val="004B01BD"/>
    <w:rsid w:val="004C18E8"/>
    <w:rsid w:val="00522363"/>
    <w:rsid w:val="00522EEF"/>
    <w:rsid w:val="00537C30"/>
    <w:rsid w:val="00541A61"/>
    <w:rsid w:val="005520F0"/>
    <w:rsid w:val="0055635B"/>
    <w:rsid w:val="0056261D"/>
    <w:rsid w:val="00571E5C"/>
    <w:rsid w:val="005807C0"/>
    <w:rsid w:val="005859B1"/>
    <w:rsid w:val="00596361"/>
    <w:rsid w:val="005D3C57"/>
    <w:rsid w:val="005E4630"/>
    <w:rsid w:val="00604565"/>
    <w:rsid w:val="00615253"/>
    <w:rsid w:val="00652D9B"/>
    <w:rsid w:val="006565FB"/>
    <w:rsid w:val="0066380C"/>
    <w:rsid w:val="00690FCF"/>
    <w:rsid w:val="00691083"/>
    <w:rsid w:val="006A6978"/>
    <w:rsid w:val="006B0DAD"/>
    <w:rsid w:val="006B5E61"/>
    <w:rsid w:val="006C1108"/>
    <w:rsid w:val="006D1C95"/>
    <w:rsid w:val="006E5D5C"/>
    <w:rsid w:val="007224F6"/>
    <w:rsid w:val="00722A7F"/>
    <w:rsid w:val="00730656"/>
    <w:rsid w:val="007B2DE6"/>
    <w:rsid w:val="007B652C"/>
    <w:rsid w:val="007C1357"/>
    <w:rsid w:val="007C1BB4"/>
    <w:rsid w:val="007C4FA9"/>
    <w:rsid w:val="007D0370"/>
    <w:rsid w:val="007E025B"/>
    <w:rsid w:val="007F613F"/>
    <w:rsid w:val="008048FE"/>
    <w:rsid w:val="00804C37"/>
    <w:rsid w:val="00812DFF"/>
    <w:rsid w:val="00813346"/>
    <w:rsid w:val="00815801"/>
    <w:rsid w:val="00840907"/>
    <w:rsid w:val="00851A16"/>
    <w:rsid w:val="008608FD"/>
    <w:rsid w:val="00866C49"/>
    <w:rsid w:val="0088437A"/>
    <w:rsid w:val="00890518"/>
    <w:rsid w:val="008C05BA"/>
    <w:rsid w:val="008C0BFC"/>
    <w:rsid w:val="008C37F3"/>
    <w:rsid w:val="008D11EB"/>
    <w:rsid w:val="008D335F"/>
    <w:rsid w:val="008F2EBC"/>
    <w:rsid w:val="009439D6"/>
    <w:rsid w:val="00952573"/>
    <w:rsid w:val="0095627A"/>
    <w:rsid w:val="00962FBB"/>
    <w:rsid w:val="00982126"/>
    <w:rsid w:val="0098384F"/>
    <w:rsid w:val="009873C5"/>
    <w:rsid w:val="009B23A6"/>
    <w:rsid w:val="009C2D88"/>
    <w:rsid w:val="009C55C6"/>
    <w:rsid w:val="009E2A0A"/>
    <w:rsid w:val="009F299A"/>
    <w:rsid w:val="009F40CC"/>
    <w:rsid w:val="009F7672"/>
    <w:rsid w:val="00A11BD8"/>
    <w:rsid w:val="00A21745"/>
    <w:rsid w:val="00A35196"/>
    <w:rsid w:val="00A35807"/>
    <w:rsid w:val="00A83EAA"/>
    <w:rsid w:val="00A8489F"/>
    <w:rsid w:val="00A9755C"/>
    <w:rsid w:val="00AA00A8"/>
    <w:rsid w:val="00AA6E7C"/>
    <w:rsid w:val="00AC0921"/>
    <w:rsid w:val="00AD597C"/>
    <w:rsid w:val="00B000F0"/>
    <w:rsid w:val="00B157ED"/>
    <w:rsid w:val="00B3723B"/>
    <w:rsid w:val="00B52E4C"/>
    <w:rsid w:val="00B67193"/>
    <w:rsid w:val="00B85D18"/>
    <w:rsid w:val="00BA1644"/>
    <w:rsid w:val="00BA6C5B"/>
    <w:rsid w:val="00BD2568"/>
    <w:rsid w:val="00BF7097"/>
    <w:rsid w:val="00BF7B26"/>
    <w:rsid w:val="00C12EB2"/>
    <w:rsid w:val="00C35B45"/>
    <w:rsid w:val="00C42B6D"/>
    <w:rsid w:val="00C5372E"/>
    <w:rsid w:val="00C7693F"/>
    <w:rsid w:val="00C81F2D"/>
    <w:rsid w:val="00C84FF6"/>
    <w:rsid w:val="00C91403"/>
    <w:rsid w:val="00C91E74"/>
    <w:rsid w:val="00CA3B33"/>
    <w:rsid w:val="00CA4D05"/>
    <w:rsid w:val="00CA53A8"/>
    <w:rsid w:val="00CB2027"/>
    <w:rsid w:val="00CC5B48"/>
    <w:rsid w:val="00CE141F"/>
    <w:rsid w:val="00CF06DF"/>
    <w:rsid w:val="00D060DA"/>
    <w:rsid w:val="00D10432"/>
    <w:rsid w:val="00D250E9"/>
    <w:rsid w:val="00D33FEF"/>
    <w:rsid w:val="00D366F3"/>
    <w:rsid w:val="00D72B77"/>
    <w:rsid w:val="00D82496"/>
    <w:rsid w:val="00DA0D38"/>
    <w:rsid w:val="00DA38B3"/>
    <w:rsid w:val="00DB3137"/>
    <w:rsid w:val="00DE1BC7"/>
    <w:rsid w:val="00DE5EF8"/>
    <w:rsid w:val="00DF0EB2"/>
    <w:rsid w:val="00E14054"/>
    <w:rsid w:val="00E17CF2"/>
    <w:rsid w:val="00E3675C"/>
    <w:rsid w:val="00E478EF"/>
    <w:rsid w:val="00E6098C"/>
    <w:rsid w:val="00E61FBE"/>
    <w:rsid w:val="00E70A46"/>
    <w:rsid w:val="00E7638D"/>
    <w:rsid w:val="00E902C6"/>
    <w:rsid w:val="00EF0C7C"/>
    <w:rsid w:val="00F02C74"/>
    <w:rsid w:val="00F02C81"/>
    <w:rsid w:val="00F14605"/>
    <w:rsid w:val="00F210BF"/>
    <w:rsid w:val="00F214EB"/>
    <w:rsid w:val="00F24E8A"/>
    <w:rsid w:val="00F42D56"/>
    <w:rsid w:val="00F510C3"/>
    <w:rsid w:val="00F72ECA"/>
    <w:rsid w:val="00F81D4E"/>
    <w:rsid w:val="00F92F82"/>
    <w:rsid w:val="00FA24B2"/>
    <w:rsid w:val="00FA4344"/>
    <w:rsid w:val="00FC1D13"/>
    <w:rsid w:val="00FC4219"/>
    <w:rsid w:val="00FD0542"/>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4004E3"/>
    <w:pPr>
      <w:tabs>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4004E3"/>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F2D"/>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98384F"/>
    <w:pPr>
      <w:tabs>
        <w:tab w:val="clear" w:pos="284"/>
        <w:tab w:val="left" w:pos="357"/>
      </w:tabs>
      <w:spacing w:before="60" w:after="60" w:line="240" w:lineRule="auto"/>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7787-9FAE-4534-BDAE-EB916F3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2018-03-22T11:24:00Z</dcterms:created>
  <dcterms:modified xsi:type="dcterms:W3CDTF">2018-03-22T11:24:00Z</dcterms:modified>
</cp:coreProperties>
</file>