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0C" w:rsidRPr="00B013A6" w:rsidRDefault="005C724C" w:rsidP="00A61F0C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B013A6">
        <w:rPr>
          <w:rFonts w:ascii="Arial" w:eastAsia="Times New Roman" w:hAnsi="Arial" w:cs="Arial"/>
          <w:b/>
          <w:bCs/>
          <w:noProof/>
          <w:sz w:val="36"/>
          <w:szCs w:val="36"/>
          <w:lang w:eastAsia="en-GB"/>
        </w:rPr>
        <w:drawing>
          <wp:inline distT="0" distB="0" distL="0" distR="0" wp14:anchorId="10B74637" wp14:editId="620D6A2B">
            <wp:extent cx="17907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4C" w:rsidRPr="00B013A6" w:rsidRDefault="003717A5" w:rsidP="00A61F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B013A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GF0H 23 SVQ 3 Food and Drink Operations: Food Manufacturing Excellence</w:t>
      </w:r>
      <w:r w:rsidR="00A61F0C" w:rsidRPr="00B013A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at SCQF l</w:t>
      </w:r>
      <w:r w:rsidR="00BA66E4" w:rsidRPr="00B013A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evel 6</w:t>
      </w:r>
      <w:r w:rsidR="00D4414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C724C" w:rsidRPr="00B013A6" w:rsidTr="00C95813">
        <w:tc>
          <w:tcPr>
            <w:tcW w:w="9134" w:type="dxa"/>
            <w:shd w:val="clear" w:color="auto" w:fill="C6D9F1"/>
          </w:tcPr>
          <w:p w:rsidR="005C724C" w:rsidRPr="00B013A6" w:rsidRDefault="005C724C" w:rsidP="005C724C">
            <w:pPr>
              <w:rPr>
                <w:rFonts w:ascii="Arial" w:eastAsia="Calibri" w:hAnsi="Arial" w:cs="Arial"/>
              </w:rPr>
            </w:pPr>
            <w:r w:rsidRPr="00B013A6">
              <w:rPr>
                <w:rFonts w:ascii="Arial" w:eastAsia="Calibri" w:hAnsi="Arial" w:cs="Arial"/>
              </w:rPr>
              <w:t>To achieve the qualific</w:t>
            </w:r>
            <w:r w:rsidR="00471B90" w:rsidRPr="00B013A6">
              <w:rPr>
                <w:rFonts w:ascii="Arial" w:eastAsia="Calibri" w:hAnsi="Arial" w:cs="Arial"/>
              </w:rPr>
              <w:t>ation candidates must complete 8</w:t>
            </w:r>
            <w:r w:rsidRPr="00B013A6">
              <w:rPr>
                <w:rFonts w:ascii="Arial" w:eastAsia="Calibri" w:hAnsi="Arial" w:cs="Arial"/>
              </w:rPr>
              <w:t xml:space="preserve"> Units in total. This comprises</w:t>
            </w:r>
            <w:r w:rsidR="00C95813">
              <w:rPr>
                <w:rFonts w:ascii="Arial" w:eastAsia="Calibri" w:hAnsi="Arial" w:cs="Arial"/>
              </w:rPr>
              <w:t xml:space="preserve"> of</w:t>
            </w:r>
            <w:r w:rsidRPr="00B013A6">
              <w:rPr>
                <w:rFonts w:ascii="Arial" w:eastAsia="Calibri" w:hAnsi="Arial" w:cs="Arial"/>
              </w:rPr>
              <w:t>:</w:t>
            </w:r>
          </w:p>
          <w:p w:rsidR="005C724C" w:rsidRDefault="00BD2744" w:rsidP="00C22E9C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pacing w:after="60"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Mandatory Units from Group A</w:t>
            </w:r>
          </w:p>
          <w:p w:rsidR="00BD2744" w:rsidRDefault="00BD2744" w:rsidP="00BD2744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pacing w:after="60"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Mandatory Units from Group B</w:t>
            </w:r>
          </w:p>
          <w:p w:rsidR="00BD2744" w:rsidRPr="00BD2744" w:rsidRDefault="00BD2744" w:rsidP="00BD2744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pacing w:after="60" w:line="280" w:lineRule="exac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The remaining 2</w:t>
            </w:r>
            <w:r w:rsidRPr="00BD2744">
              <w:rPr>
                <w:rFonts w:ascii="Arial" w:hAnsi="Arial" w:cs="Arial"/>
              </w:rPr>
              <w:t xml:space="preserve"> Units can be taken from Group A, B or C</w:t>
            </w:r>
          </w:p>
          <w:p w:rsidR="00BD2744" w:rsidRPr="00C22E9C" w:rsidRDefault="00BD2744" w:rsidP="00BD2744">
            <w:pPr>
              <w:pStyle w:val="ListParagraph"/>
              <w:tabs>
                <w:tab w:val="left" w:pos="567"/>
              </w:tabs>
              <w:spacing w:after="60" w:line="280" w:lineRule="exact"/>
              <w:rPr>
                <w:rFonts w:ascii="Arial" w:eastAsia="Times New Roman" w:hAnsi="Arial" w:cs="Arial"/>
              </w:rPr>
            </w:pPr>
          </w:p>
        </w:tc>
      </w:tr>
    </w:tbl>
    <w:p w:rsidR="005C724C" w:rsidRPr="00B013A6" w:rsidRDefault="005C724C" w:rsidP="005C724C">
      <w:pPr>
        <w:spacing w:after="0" w:line="240" w:lineRule="auto"/>
        <w:rPr>
          <w:rFonts w:ascii="Arial" w:eastAsia="Calibri" w:hAnsi="Arial" w:cs="Arial"/>
          <w:sz w:val="24"/>
          <w:lang w:val="en-US"/>
        </w:rPr>
      </w:pPr>
    </w:p>
    <w:p w:rsidR="005C724C" w:rsidRPr="00B013A6" w:rsidRDefault="005C724C" w:rsidP="005C724C">
      <w:pPr>
        <w:spacing w:after="0" w:line="240" w:lineRule="auto"/>
        <w:rPr>
          <w:rFonts w:ascii="Arial" w:eastAsia="Calibri" w:hAnsi="Arial" w:cs="Arial"/>
          <w:lang w:val="en-US"/>
        </w:rPr>
      </w:pPr>
      <w:r w:rsidRPr="00B013A6">
        <w:rPr>
          <w:rFonts w:ascii="Arial" w:eastAsia="Calibri" w:hAnsi="Arial" w:cs="Arial"/>
          <w:lang w:val="en-US"/>
        </w:rPr>
        <w:t>Please note the table below shows the SSC identification codes listed alongside th</w:t>
      </w:r>
      <w:r w:rsidR="003B1B4E">
        <w:rPr>
          <w:rFonts w:ascii="Arial" w:eastAsia="Calibri" w:hAnsi="Arial" w:cs="Arial"/>
          <w:lang w:val="en-US"/>
        </w:rPr>
        <w:t>e corresponding SQA Unit code</w:t>
      </w:r>
      <w:r w:rsidRPr="00B013A6">
        <w:rPr>
          <w:rFonts w:ascii="Arial" w:eastAsia="Calibri" w:hAnsi="Arial" w:cs="Arial"/>
          <w:lang w:val="en-US"/>
        </w:rPr>
        <w:t>. It is im</w:t>
      </w:r>
      <w:r w:rsidR="003B1B4E">
        <w:rPr>
          <w:rFonts w:ascii="Arial" w:eastAsia="Calibri" w:hAnsi="Arial" w:cs="Arial"/>
          <w:lang w:val="en-US"/>
        </w:rPr>
        <w:t>portant that the SQA Unit code</w:t>
      </w:r>
      <w:r w:rsidRPr="00B013A6">
        <w:rPr>
          <w:rFonts w:ascii="Arial" w:eastAsia="Calibri" w:hAnsi="Arial" w:cs="Arial"/>
          <w:lang w:val="en-US"/>
        </w:rPr>
        <w:t xml:space="preserve">s are used in all your recording documentation and when your results are communicated to SQA. SSC identification codes are </w:t>
      </w:r>
      <w:r w:rsidRPr="00B013A6">
        <w:rPr>
          <w:rFonts w:ascii="Arial" w:eastAsia="Calibri" w:hAnsi="Arial" w:cs="Arial"/>
          <w:b/>
          <w:lang w:val="en-US"/>
        </w:rPr>
        <w:t>not valid</w:t>
      </w:r>
      <w:r w:rsidRPr="00B013A6">
        <w:rPr>
          <w:rFonts w:ascii="Arial" w:eastAsia="Calibri" w:hAnsi="Arial" w:cs="Arial"/>
          <w:lang w:val="en-US"/>
        </w:rPr>
        <w:t xml:space="preserve"> in these instances.</w:t>
      </w:r>
      <w:r w:rsidR="00826A51">
        <w:rPr>
          <w:rFonts w:ascii="Arial" w:eastAsia="Calibri" w:hAnsi="Arial" w:cs="Arial"/>
          <w:lang w:val="en-US"/>
        </w:rPr>
        <w:t xml:space="preserve"> SCQF credit v</w:t>
      </w:r>
      <w:r w:rsidR="00C95813">
        <w:rPr>
          <w:rFonts w:ascii="Arial" w:eastAsia="Calibri" w:hAnsi="Arial" w:cs="Arial"/>
          <w:lang w:val="en-US"/>
        </w:rPr>
        <w:t>alue denotes the guided learning hours for each unit.</w:t>
      </w:r>
    </w:p>
    <w:p w:rsidR="005C724C" w:rsidRPr="00B013A6" w:rsidRDefault="005C724C" w:rsidP="005C724C">
      <w:pPr>
        <w:spacing w:after="0" w:line="240" w:lineRule="auto"/>
        <w:rPr>
          <w:rFonts w:ascii="Arial" w:eastAsia="Calibri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962"/>
        <w:gridCol w:w="3913"/>
        <w:gridCol w:w="992"/>
        <w:gridCol w:w="992"/>
        <w:gridCol w:w="1196"/>
      </w:tblGrid>
      <w:tr w:rsidR="005C724C" w:rsidRPr="00B013A6" w:rsidTr="00C95813">
        <w:tc>
          <w:tcPr>
            <w:tcW w:w="9242" w:type="dxa"/>
            <w:gridSpan w:val="6"/>
          </w:tcPr>
          <w:p w:rsidR="005C724C" w:rsidRPr="00B013A6" w:rsidRDefault="00C05ECF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Group A</w:t>
            </w:r>
            <w:r w:rsidR="00C95813">
              <w:rPr>
                <w:rFonts w:ascii="Arial" w:eastAsia="Times New Roman" w:hAnsi="Arial" w:cs="Arial"/>
                <w:b/>
              </w:rPr>
              <w:t xml:space="preserve"> </w:t>
            </w:r>
            <w:r w:rsidR="008D0874">
              <w:rPr>
                <w:rFonts w:ascii="Arial" w:eastAsia="Times New Roman" w:hAnsi="Arial" w:cs="Arial"/>
                <w:b/>
              </w:rPr>
              <w:t xml:space="preserve">- </w:t>
            </w:r>
            <w:r w:rsidR="00E00157">
              <w:rPr>
                <w:rFonts w:ascii="Arial" w:eastAsia="Times New Roman" w:hAnsi="Arial" w:cs="Arial"/>
                <w:b/>
              </w:rPr>
              <w:t xml:space="preserve">Mandatory Units: </w:t>
            </w:r>
            <w:r w:rsidR="005C724C" w:rsidRPr="00B013A6">
              <w:rPr>
                <w:rFonts w:ascii="Arial" w:eastAsia="Times New Roman" w:hAnsi="Arial" w:cs="Arial"/>
                <w:b/>
              </w:rPr>
              <w:t xml:space="preserve">Candidates must complete </w:t>
            </w:r>
            <w:r w:rsidR="008D0874">
              <w:rPr>
                <w:rFonts w:ascii="Arial" w:eastAsia="Times New Roman" w:hAnsi="Arial" w:cs="Arial"/>
                <w:b/>
              </w:rPr>
              <w:t>at</w:t>
            </w:r>
            <w:r w:rsidR="00090214">
              <w:rPr>
                <w:rFonts w:ascii="Arial" w:eastAsia="Times New Roman" w:hAnsi="Arial" w:cs="Arial"/>
                <w:b/>
              </w:rPr>
              <w:t xml:space="preserve"> least 3/a maximum of 4</w:t>
            </w:r>
            <w:r w:rsidR="00BD2744">
              <w:rPr>
                <w:rFonts w:ascii="Arial" w:eastAsia="Times New Roman" w:hAnsi="Arial" w:cs="Arial"/>
                <w:b/>
              </w:rPr>
              <w:t xml:space="preserve"> </w:t>
            </w:r>
            <w:r w:rsidR="00090214">
              <w:rPr>
                <w:rFonts w:ascii="Arial" w:eastAsia="Times New Roman" w:hAnsi="Arial" w:cs="Arial"/>
                <w:b/>
              </w:rPr>
              <w:t xml:space="preserve">units </w:t>
            </w:r>
            <w:r w:rsidR="00BD2744">
              <w:rPr>
                <w:rFonts w:ascii="Arial" w:eastAsia="Times New Roman" w:hAnsi="Arial" w:cs="Arial"/>
                <w:b/>
              </w:rPr>
              <w:t>from this group</w:t>
            </w:r>
          </w:p>
        </w:tc>
      </w:tr>
      <w:tr w:rsidR="00C95813" w:rsidRPr="00B013A6" w:rsidTr="00C95813">
        <w:tc>
          <w:tcPr>
            <w:tcW w:w="1187" w:type="dxa"/>
          </w:tcPr>
          <w:p w:rsidR="00C95813" w:rsidRPr="00B013A6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13A6">
              <w:rPr>
                <w:rFonts w:ascii="Arial" w:eastAsia="Times New Roman" w:hAnsi="Arial" w:cs="Arial"/>
                <w:b/>
              </w:rPr>
              <w:t xml:space="preserve">SQA </w:t>
            </w:r>
            <w:r w:rsidR="003B1B4E">
              <w:rPr>
                <w:rFonts w:ascii="Arial" w:eastAsia="Times New Roman" w:hAnsi="Arial" w:cs="Arial"/>
                <w:b/>
              </w:rPr>
              <w:t xml:space="preserve">Unit </w:t>
            </w:r>
            <w:r w:rsidRPr="00B013A6">
              <w:rPr>
                <w:rFonts w:ascii="Arial" w:eastAsia="Times New Roman" w:hAnsi="Arial" w:cs="Arial"/>
                <w:b/>
              </w:rPr>
              <w:t>code</w:t>
            </w:r>
          </w:p>
        </w:tc>
        <w:tc>
          <w:tcPr>
            <w:tcW w:w="962" w:type="dxa"/>
          </w:tcPr>
          <w:p w:rsidR="00C95813" w:rsidRPr="00B013A6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13A6">
              <w:rPr>
                <w:rFonts w:ascii="Arial" w:eastAsia="Times New Roman" w:hAnsi="Arial" w:cs="Arial"/>
                <w:b/>
              </w:rPr>
              <w:t xml:space="preserve">SSC </w:t>
            </w:r>
            <w:r w:rsidR="003B1B4E">
              <w:rPr>
                <w:rFonts w:ascii="Arial" w:eastAsia="Times New Roman" w:hAnsi="Arial" w:cs="Arial"/>
                <w:b/>
              </w:rPr>
              <w:t xml:space="preserve">Unit </w:t>
            </w:r>
            <w:r w:rsidRPr="00B013A6">
              <w:rPr>
                <w:rFonts w:ascii="Arial" w:eastAsia="Times New Roman" w:hAnsi="Arial" w:cs="Arial"/>
                <w:b/>
              </w:rPr>
              <w:t>code</w:t>
            </w:r>
          </w:p>
        </w:tc>
        <w:tc>
          <w:tcPr>
            <w:tcW w:w="3913" w:type="dxa"/>
          </w:tcPr>
          <w:p w:rsidR="00C95813" w:rsidRPr="00B013A6" w:rsidRDefault="003B1B4E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Unit </w:t>
            </w:r>
            <w:r w:rsidR="00C95813" w:rsidRPr="00B013A6">
              <w:rPr>
                <w:rFonts w:ascii="Arial" w:eastAsia="Times New Roman" w:hAnsi="Arial" w:cs="Arial"/>
                <w:b/>
              </w:rPr>
              <w:t>Title</w:t>
            </w:r>
          </w:p>
        </w:tc>
        <w:tc>
          <w:tcPr>
            <w:tcW w:w="992" w:type="dxa"/>
          </w:tcPr>
          <w:p w:rsidR="00C95813" w:rsidRPr="00B013A6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13A6">
              <w:rPr>
                <w:rFonts w:ascii="Arial" w:eastAsia="Times New Roman" w:hAnsi="Arial" w:cs="Arial"/>
                <w:b/>
              </w:rPr>
              <w:t>SCQF level</w:t>
            </w:r>
          </w:p>
        </w:tc>
        <w:tc>
          <w:tcPr>
            <w:tcW w:w="992" w:type="dxa"/>
          </w:tcPr>
          <w:p w:rsidR="00C95813" w:rsidRPr="00B013A6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SCQF credit value</w:t>
            </w:r>
          </w:p>
        </w:tc>
        <w:tc>
          <w:tcPr>
            <w:tcW w:w="1196" w:type="dxa"/>
          </w:tcPr>
          <w:p w:rsidR="00C95813" w:rsidRPr="00B013A6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Unit credit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H13K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505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Organise and Run Meetings in Food Manufacture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FD3H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506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Develop Productive Working Relationships with Colleagues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DR3Y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Allocate and Monitor the Progress and Quality of Work in Your Area of Responsibility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DR47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Develop and Implement Operational Plans for Your Area of Responsibility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F2JH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3B35AB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532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Contribute to Continuous Improvement of Food Safety in Manufacture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H13L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Contribute to the Development of an Achieving Excellence Culture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H13M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Plan Organisational Change of Achieving Excellence in a Food 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lastRenderedPageBreak/>
              <w:t>H13N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Manage Organisational Change for Achieving Excellence in a Food 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H13P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Provide Organisational Support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H13R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Monitor Change and Improvement for Achieving Excellence in a Food 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H13S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Review and Evaluate Organisational Change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H13T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Contribute to the Development of a Achieving Excellence Strategy in a Food 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H13X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Identify Learning and Skills Needs for Achieving Excellence in a Food 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H13Y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Provide Coaching and Mentoring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H140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Provide Training for Achieving </w:t>
            </w:r>
            <w:r>
              <w:rPr>
                <w:rFonts w:ascii="Arial" w:eastAsia="Times New Roman" w:hAnsi="Arial" w:cs="Arial"/>
              </w:rPr>
              <w:t xml:space="preserve">Excellence in a Food Environment </w:t>
            </w:r>
            <w:r w:rsidRPr="00B013A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H141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Assess Teams and Individuals in the Achievement of Excellence in a Food 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H142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Manage Workplace Organisation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187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H143 04</w:t>
            </w:r>
          </w:p>
        </w:tc>
        <w:tc>
          <w:tcPr>
            <w:tcW w:w="962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3913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Manage Compliance to Support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96" w:type="dxa"/>
            <w:vAlign w:val="center"/>
          </w:tcPr>
          <w:p w:rsidR="00C95813" w:rsidRPr="00B013A6" w:rsidRDefault="00C95813" w:rsidP="003717A5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</w:tbl>
    <w:p w:rsidR="005C724C" w:rsidRPr="00B013A6" w:rsidRDefault="005C724C" w:rsidP="005C724C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69"/>
        <w:gridCol w:w="3778"/>
        <w:gridCol w:w="992"/>
        <w:gridCol w:w="1097"/>
        <w:gridCol w:w="1097"/>
      </w:tblGrid>
      <w:tr w:rsidR="005C724C" w:rsidRPr="00B013A6" w:rsidTr="00090214">
        <w:trPr>
          <w:trHeight w:val="578"/>
        </w:trPr>
        <w:tc>
          <w:tcPr>
            <w:tcW w:w="9242" w:type="dxa"/>
            <w:gridSpan w:val="6"/>
          </w:tcPr>
          <w:p w:rsidR="005C724C" w:rsidRPr="00B013A6" w:rsidRDefault="00090214" w:rsidP="00EF6AD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Group B</w:t>
            </w:r>
            <w:r>
              <w:rPr>
                <w:rFonts w:ascii="Arial" w:eastAsia="Times New Roman" w:hAnsi="Arial" w:cs="Arial"/>
                <w:b/>
              </w:rPr>
              <w:t xml:space="preserve"> - Mandatory Units: </w:t>
            </w:r>
            <w:r w:rsidRPr="00B013A6">
              <w:rPr>
                <w:rFonts w:ascii="Arial" w:eastAsia="Times New Roman" w:hAnsi="Arial" w:cs="Arial"/>
                <w:b/>
              </w:rPr>
              <w:t xml:space="preserve">Candidates must complete </w:t>
            </w:r>
            <w:r>
              <w:rPr>
                <w:rFonts w:ascii="Arial" w:eastAsia="Times New Roman" w:hAnsi="Arial" w:cs="Arial"/>
                <w:b/>
              </w:rPr>
              <w:t>at least 3/a maximum of 4 units from this group</w:t>
            </w:r>
            <w:bookmarkStart w:id="0" w:name="_GoBack"/>
            <w:bookmarkEnd w:id="0"/>
          </w:p>
        </w:tc>
      </w:tr>
      <w:tr w:rsidR="00C95813" w:rsidRPr="00B013A6" w:rsidTr="00C95813">
        <w:tc>
          <w:tcPr>
            <w:tcW w:w="1309" w:type="dxa"/>
          </w:tcPr>
          <w:p w:rsidR="00C95813" w:rsidRPr="00B013A6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13A6">
              <w:rPr>
                <w:rFonts w:ascii="Arial" w:eastAsia="Times New Roman" w:hAnsi="Arial" w:cs="Arial"/>
                <w:b/>
              </w:rPr>
              <w:t xml:space="preserve">SQA </w:t>
            </w:r>
            <w:r w:rsidR="003B1B4E">
              <w:rPr>
                <w:rFonts w:ascii="Arial" w:eastAsia="Times New Roman" w:hAnsi="Arial" w:cs="Arial"/>
                <w:b/>
              </w:rPr>
              <w:t xml:space="preserve">Unit </w:t>
            </w:r>
            <w:r w:rsidRPr="00B013A6">
              <w:rPr>
                <w:rFonts w:ascii="Arial" w:eastAsia="Times New Roman" w:hAnsi="Arial" w:cs="Arial"/>
                <w:b/>
              </w:rPr>
              <w:t>code</w:t>
            </w:r>
          </w:p>
        </w:tc>
        <w:tc>
          <w:tcPr>
            <w:tcW w:w="969" w:type="dxa"/>
          </w:tcPr>
          <w:p w:rsidR="00C95813" w:rsidRPr="00B013A6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13A6">
              <w:rPr>
                <w:rFonts w:ascii="Arial" w:eastAsia="Times New Roman" w:hAnsi="Arial" w:cs="Arial"/>
                <w:b/>
              </w:rPr>
              <w:t>SSC</w:t>
            </w:r>
            <w:r w:rsidR="003B1B4E">
              <w:rPr>
                <w:rFonts w:ascii="Arial" w:eastAsia="Times New Roman" w:hAnsi="Arial" w:cs="Arial"/>
                <w:b/>
              </w:rPr>
              <w:t xml:space="preserve"> Unit</w:t>
            </w:r>
            <w:r w:rsidRPr="00B013A6">
              <w:rPr>
                <w:rFonts w:ascii="Arial" w:eastAsia="Times New Roman" w:hAnsi="Arial" w:cs="Arial"/>
                <w:b/>
              </w:rPr>
              <w:t xml:space="preserve"> code</w:t>
            </w:r>
          </w:p>
        </w:tc>
        <w:tc>
          <w:tcPr>
            <w:tcW w:w="3778" w:type="dxa"/>
          </w:tcPr>
          <w:p w:rsidR="00C95813" w:rsidRPr="00B013A6" w:rsidRDefault="003B1B4E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Unit </w:t>
            </w:r>
            <w:r w:rsidR="00C95813" w:rsidRPr="00B013A6">
              <w:rPr>
                <w:rFonts w:ascii="Arial" w:eastAsia="Times New Roman" w:hAnsi="Arial" w:cs="Arial"/>
                <w:b/>
              </w:rPr>
              <w:t>Title</w:t>
            </w:r>
          </w:p>
        </w:tc>
        <w:tc>
          <w:tcPr>
            <w:tcW w:w="992" w:type="dxa"/>
          </w:tcPr>
          <w:p w:rsidR="00C95813" w:rsidRPr="00B013A6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13A6">
              <w:rPr>
                <w:rFonts w:ascii="Arial" w:eastAsia="Times New Roman" w:hAnsi="Arial" w:cs="Arial"/>
                <w:b/>
              </w:rPr>
              <w:t>SCQF level</w:t>
            </w:r>
          </w:p>
        </w:tc>
        <w:tc>
          <w:tcPr>
            <w:tcW w:w="1097" w:type="dxa"/>
          </w:tcPr>
          <w:p w:rsidR="00C95813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SCQF credit</w:t>
            </w:r>
          </w:p>
          <w:p w:rsidR="00C95813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value</w:t>
            </w:r>
          </w:p>
        </w:tc>
        <w:tc>
          <w:tcPr>
            <w:tcW w:w="1097" w:type="dxa"/>
          </w:tcPr>
          <w:p w:rsidR="00C95813" w:rsidRPr="00B013A6" w:rsidRDefault="00C95813" w:rsidP="003B1B4E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Unit credit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F2NB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527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Monitor and Control Throughout to Achieve Targets in Food Manufacture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F2J8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529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Carry Out Quality Audits in Food Manufacture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lastRenderedPageBreak/>
              <w:t>H144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3B35AB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602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Control Energy Efficiency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H145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3B35AB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603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Control Waste Minimisation in </w:t>
            </w:r>
            <w:r>
              <w:rPr>
                <w:rFonts w:ascii="Arial" w:eastAsia="Times New Roman" w:hAnsi="Arial" w:cs="Arial"/>
              </w:rPr>
              <w:t>a</w:t>
            </w:r>
            <w:r w:rsidRPr="00B013A6">
              <w:rPr>
                <w:rFonts w:ascii="Arial" w:eastAsia="Times New Roman" w:hAnsi="Arial" w:cs="Arial"/>
              </w:rPr>
              <w:t xml:space="preserve">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H146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3B35AB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604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Control Water Usage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H147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3B35AB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605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Control Transport Efficiency in a Food 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H148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Analyse C</w:t>
            </w:r>
            <w:r w:rsidRPr="00B013A6">
              <w:rPr>
                <w:rFonts w:ascii="Arial" w:eastAsia="Times New Roman" w:hAnsi="Arial" w:cs="Arial"/>
              </w:rPr>
              <w:t xml:space="preserve">urrent Practice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H149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740CE6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Carry Out Valve Steam Mapping (VSM) </w:t>
            </w:r>
            <w:r w:rsidRPr="00B013A6">
              <w:rPr>
                <w:rFonts w:ascii="Arial" w:eastAsia="Times New Roman" w:hAnsi="Arial" w:cs="Arial"/>
              </w:rPr>
              <w:t xml:space="preserve">Programme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H14A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Implement Visual Management Systems in a Food 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H14B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623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Diagnose Problems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H1AR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Analyse and Select Areas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H14C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Apply Failure Models and Effects Analysis (FMEA)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H14D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Resolve Problems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H14E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627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Plan and Agree Targets for Achieving </w:t>
            </w:r>
            <w:r>
              <w:rPr>
                <w:rFonts w:ascii="Arial" w:eastAsia="Times New Roman" w:hAnsi="Arial" w:cs="Arial"/>
              </w:rPr>
              <w:t xml:space="preserve">Excellence </w:t>
            </w:r>
            <w:r w:rsidRPr="00B013A6">
              <w:rPr>
                <w:rFonts w:ascii="Arial" w:eastAsia="Times New Roman" w:hAnsi="Arial" w:cs="Arial"/>
              </w:rPr>
              <w:t xml:space="preserve">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H14F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628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Implement a Problem Solving Methodology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H14G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629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Implement Improvement Programmes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H150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630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Implement a Set Up Reduction Programme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H151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631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Implement Mistake/Error Proofing (Poka Yoke)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H152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632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Measure and Collect Data for Achieving Excellence in a Food </w:t>
            </w:r>
            <w:r w:rsidRPr="00B013A6">
              <w:rPr>
                <w:rFonts w:ascii="Arial" w:eastAsia="Times New Roman" w:hAnsi="Arial" w:cs="Arial"/>
              </w:rPr>
              <w:lastRenderedPageBreak/>
              <w:t>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lastRenderedPageBreak/>
              <w:t>H153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633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Analysis Improvement Outcomes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H154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634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Review Improvement Activities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H155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635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Evaluate Improvement Activities for Achieving Excellence in a Food Environment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95813" w:rsidRPr="00B013A6" w:rsidTr="00C95813">
        <w:tc>
          <w:tcPr>
            <w:tcW w:w="130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H156 04</w:t>
            </w:r>
          </w:p>
        </w:tc>
        <w:tc>
          <w:tcPr>
            <w:tcW w:w="969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636</w:t>
            </w:r>
          </w:p>
        </w:tc>
        <w:tc>
          <w:tcPr>
            <w:tcW w:w="3778" w:type="dxa"/>
            <w:vAlign w:val="center"/>
          </w:tcPr>
          <w:p w:rsidR="00C95813" w:rsidRPr="00B013A6" w:rsidRDefault="00C95813" w:rsidP="005C724C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Sustain Improvement for Achieving Excellence in a Food Environment </w:t>
            </w:r>
          </w:p>
        </w:tc>
        <w:tc>
          <w:tcPr>
            <w:tcW w:w="992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97" w:type="dxa"/>
            <w:vAlign w:val="center"/>
          </w:tcPr>
          <w:p w:rsidR="00C95813" w:rsidRPr="00B013A6" w:rsidRDefault="00C95813" w:rsidP="00C95813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</w:tbl>
    <w:p w:rsidR="00D4414F" w:rsidRDefault="00D4414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992"/>
        <w:gridCol w:w="1134"/>
        <w:gridCol w:w="1054"/>
      </w:tblGrid>
      <w:tr w:rsidR="00D4414F" w:rsidRPr="00B013A6" w:rsidTr="00D4414F">
        <w:trPr>
          <w:trHeight w:val="375"/>
        </w:trPr>
        <w:tc>
          <w:tcPr>
            <w:tcW w:w="9242" w:type="dxa"/>
            <w:gridSpan w:val="6"/>
          </w:tcPr>
          <w:p w:rsidR="00D4414F" w:rsidRDefault="00C05ECF" w:rsidP="00D4414F">
            <w:pPr>
              <w:tabs>
                <w:tab w:val="left" w:pos="284"/>
                <w:tab w:val="left" w:pos="567"/>
              </w:tabs>
              <w:spacing w:before="80" w:after="8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Group C</w:t>
            </w:r>
            <w:r w:rsidR="00D4414F">
              <w:rPr>
                <w:rFonts w:ascii="Arial" w:eastAsia="Times New Roman" w:hAnsi="Arial" w:cs="Arial"/>
                <w:b/>
              </w:rPr>
              <w:t xml:space="preserve"> </w:t>
            </w:r>
            <w:r w:rsidR="00BD2744">
              <w:rPr>
                <w:rFonts w:ascii="Arial" w:eastAsia="Times New Roman" w:hAnsi="Arial" w:cs="Arial"/>
                <w:b/>
              </w:rPr>
              <w:t xml:space="preserve">- </w:t>
            </w:r>
            <w:r w:rsidR="00D4414F">
              <w:rPr>
                <w:rFonts w:ascii="Arial" w:eastAsia="Times New Roman" w:hAnsi="Arial" w:cs="Arial"/>
                <w:b/>
              </w:rPr>
              <w:t>Optional Units:</w:t>
            </w:r>
            <w:r w:rsidR="00BD2744">
              <w:rPr>
                <w:rFonts w:ascii="Arial" w:eastAsia="Times New Roman" w:hAnsi="Arial" w:cs="Arial"/>
                <w:b/>
              </w:rPr>
              <w:t xml:space="preserve"> Candidates may complete up to 2 Units</w:t>
            </w:r>
            <w:r w:rsidR="00D4414F">
              <w:rPr>
                <w:rFonts w:ascii="Arial" w:eastAsia="Times New Roman" w:hAnsi="Arial" w:cs="Arial"/>
                <w:b/>
              </w:rPr>
              <w:t xml:space="preserve"> </w:t>
            </w:r>
            <w:r w:rsidR="00BD2744">
              <w:rPr>
                <w:rFonts w:ascii="Arial" w:eastAsia="Times New Roman" w:hAnsi="Arial" w:cs="Arial"/>
                <w:b/>
              </w:rPr>
              <w:t>from this group</w:t>
            </w:r>
          </w:p>
        </w:tc>
      </w:tr>
      <w:tr w:rsidR="00D4414F" w:rsidRPr="00B013A6" w:rsidTr="00D4414F">
        <w:trPr>
          <w:trHeight w:val="375"/>
        </w:trPr>
        <w:tc>
          <w:tcPr>
            <w:tcW w:w="1242" w:type="dxa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13A6">
              <w:rPr>
                <w:rFonts w:ascii="Arial" w:eastAsia="Times New Roman" w:hAnsi="Arial" w:cs="Arial"/>
                <w:b/>
              </w:rPr>
              <w:t xml:space="preserve">SQA </w:t>
            </w:r>
            <w:r>
              <w:rPr>
                <w:rFonts w:ascii="Arial" w:eastAsia="Times New Roman" w:hAnsi="Arial" w:cs="Arial"/>
                <w:b/>
              </w:rPr>
              <w:t xml:space="preserve">Unit </w:t>
            </w:r>
            <w:r w:rsidRPr="00B013A6">
              <w:rPr>
                <w:rFonts w:ascii="Arial" w:eastAsia="Times New Roman" w:hAnsi="Arial" w:cs="Arial"/>
                <w:b/>
              </w:rPr>
              <w:t>code</w:t>
            </w:r>
          </w:p>
        </w:tc>
        <w:tc>
          <w:tcPr>
            <w:tcW w:w="993" w:type="dxa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13A6">
              <w:rPr>
                <w:rFonts w:ascii="Arial" w:eastAsia="Times New Roman" w:hAnsi="Arial" w:cs="Arial"/>
                <w:b/>
              </w:rPr>
              <w:t xml:space="preserve">SSC </w:t>
            </w:r>
            <w:r>
              <w:rPr>
                <w:rFonts w:ascii="Arial" w:eastAsia="Times New Roman" w:hAnsi="Arial" w:cs="Arial"/>
                <w:b/>
              </w:rPr>
              <w:t xml:space="preserve">Unit </w:t>
            </w:r>
            <w:r w:rsidRPr="00B013A6">
              <w:rPr>
                <w:rFonts w:ascii="Arial" w:eastAsia="Times New Roman" w:hAnsi="Arial" w:cs="Arial"/>
                <w:b/>
              </w:rPr>
              <w:t>code</w:t>
            </w:r>
          </w:p>
        </w:tc>
        <w:tc>
          <w:tcPr>
            <w:tcW w:w="3827" w:type="dxa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Unit </w:t>
            </w:r>
            <w:r w:rsidRPr="00B013A6">
              <w:rPr>
                <w:rFonts w:ascii="Arial" w:eastAsia="Times New Roman" w:hAnsi="Arial" w:cs="Arial"/>
                <w:b/>
              </w:rPr>
              <w:t>Title</w:t>
            </w:r>
          </w:p>
        </w:tc>
        <w:tc>
          <w:tcPr>
            <w:tcW w:w="992" w:type="dxa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13A6">
              <w:rPr>
                <w:rFonts w:ascii="Arial" w:eastAsia="Times New Roman" w:hAnsi="Arial" w:cs="Arial"/>
                <w:b/>
              </w:rPr>
              <w:t>SCQF level</w:t>
            </w:r>
          </w:p>
        </w:tc>
        <w:tc>
          <w:tcPr>
            <w:tcW w:w="1134" w:type="dxa"/>
          </w:tcPr>
          <w:p w:rsidR="00D4414F" w:rsidRDefault="00D4414F" w:rsidP="00C10008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SCQF credit</w:t>
            </w:r>
          </w:p>
          <w:p w:rsidR="00D4414F" w:rsidRDefault="00D4414F" w:rsidP="00C10008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value</w:t>
            </w:r>
          </w:p>
        </w:tc>
        <w:tc>
          <w:tcPr>
            <w:tcW w:w="1054" w:type="dxa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Unit credit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992"/>
        <w:gridCol w:w="1134"/>
        <w:gridCol w:w="1054"/>
      </w:tblGrid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H157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666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Sustainability in a Food Manufacture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H158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637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Principles of Change Project Management in a Food Environment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H159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638</w:t>
            </w:r>
          </w:p>
        </w:tc>
        <w:tc>
          <w:tcPr>
            <w:tcW w:w="3827" w:type="dxa"/>
            <w:vAlign w:val="center"/>
          </w:tcPr>
          <w:p w:rsidR="00D4414F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Principles of Achieving Excellence</w:t>
            </w:r>
            <w:r>
              <w:rPr>
                <w:rFonts w:ascii="Arial" w:eastAsia="Times New Roman" w:hAnsi="Arial" w:cs="Arial"/>
              </w:rPr>
              <w:t xml:space="preserve"> Strategy in a Food Environment</w:t>
            </w:r>
          </w:p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H15E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639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Flow Process Analysis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H15F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640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Measurement Systems Analysis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H15J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641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Lead Time Analysis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H15M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642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Basic Statistical Analysis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H15R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643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Taguchi Linear Graphs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H15V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644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Flexible Production and Manpower Systems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H15Y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645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Statistical Process Control Procedures (SPC)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H160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646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Design of Experiments </w:t>
            </w:r>
            <w:r w:rsidRPr="00B013A6">
              <w:rPr>
                <w:rFonts w:ascii="Arial" w:eastAsia="Times New Roman" w:hAnsi="Arial" w:cs="Arial"/>
              </w:rPr>
              <w:lastRenderedPageBreak/>
              <w:t>(DOE) in a Food Environment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lastRenderedPageBreak/>
              <w:t>H161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Pr="00B013A6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Principles of Quality Function D</w:t>
            </w:r>
            <w:r>
              <w:rPr>
                <w:rFonts w:ascii="Arial" w:eastAsia="Times New Roman" w:hAnsi="Arial" w:cs="Arial"/>
              </w:rPr>
              <w:t>evelopment</w:t>
            </w:r>
            <w:r w:rsidRPr="00B013A6">
              <w:rPr>
                <w:rFonts w:ascii="Arial" w:eastAsia="Times New Roman" w:hAnsi="Arial" w:cs="Arial"/>
              </w:rPr>
              <w:t xml:space="preserve"> in a Food Environment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H162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648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Principles of Response Surface Methodology in a  Food Environment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H163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649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Value Stream (VSM)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H164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650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Principles of Visual Management Systems in a Food Environment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H165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651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Analysis and Selecting Area of Achieving Excellence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H166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652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Failure Models and Effect Analysis (FMEA) in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H167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653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Principles o</w:t>
            </w:r>
            <w:r>
              <w:rPr>
                <w:rFonts w:ascii="Arial" w:eastAsia="Times New Roman" w:hAnsi="Arial" w:cs="Arial"/>
              </w:rPr>
              <w:t>f</w:t>
            </w:r>
            <w:r w:rsidRPr="00B013A6">
              <w:rPr>
                <w:rFonts w:ascii="Arial" w:eastAsia="Times New Roman" w:hAnsi="Arial" w:cs="Arial"/>
              </w:rPr>
              <w:t xml:space="preserve"> Six Sigma Process Mapping in a Food Environment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H16C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654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Six Sigma Methodology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H16D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655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Six Sigma Metrics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H16E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656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Set</w:t>
            </w:r>
            <w:r w:rsidRPr="00B013A6">
              <w:rPr>
                <w:rFonts w:ascii="Arial" w:eastAsia="Times New Roman" w:hAnsi="Arial" w:cs="Arial"/>
              </w:rPr>
              <w:t xml:space="preserve"> Reduction Programme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H16F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657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Mistake/Error Proofing (Poka Yoke)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H16G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658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Characteristic Selection Matrix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H16H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659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Capability Studies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H16J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660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Multi Variance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H16L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661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Hypothesis Testing in a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H16N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662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 xml:space="preserve">Principles of Evolutionary Operations (EVOP) in a  Food Environment 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4414F" w:rsidTr="00D4414F">
        <w:tc>
          <w:tcPr>
            <w:tcW w:w="124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H16R 04</w:t>
            </w:r>
          </w:p>
        </w:tc>
        <w:tc>
          <w:tcPr>
            <w:tcW w:w="993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663</w:t>
            </w:r>
          </w:p>
        </w:tc>
        <w:tc>
          <w:tcPr>
            <w:tcW w:w="3827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Principles of Central Limit Theorem and Confidence Intervals in a Food Environment</w:t>
            </w:r>
          </w:p>
        </w:tc>
        <w:tc>
          <w:tcPr>
            <w:tcW w:w="992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 w:rsidRPr="00B013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54" w:type="dxa"/>
            <w:vAlign w:val="center"/>
          </w:tcPr>
          <w:p w:rsidR="00D4414F" w:rsidRPr="00B013A6" w:rsidRDefault="00D4414F" w:rsidP="00C10008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</w:tbl>
    <w:p w:rsidR="00D4414F" w:rsidRPr="00B013A6" w:rsidRDefault="00D4414F">
      <w:pPr>
        <w:rPr>
          <w:rFonts w:ascii="Arial" w:hAnsi="Arial" w:cs="Arial"/>
        </w:rPr>
      </w:pPr>
    </w:p>
    <w:sectPr w:rsidR="00D4414F" w:rsidRPr="00B013A6" w:rsidSect="00B1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B94DA8"/>
    <w:multiLevelType w:val="hybridMultilevel"/>
    <w:tmpl w:val="EC1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4C"/>
    <w:rsid w:val="00085CF5"/>
    <w:rsid w:val="00090214"/>
    <w:rsid w:val="00127736"/>
    <w:rsid w:val="00167D93"/>
    <w:rsid w:val="002F25E4"/>
    <w:rsid w:val="003717A5"/>
    <w:rsid w:val="003B1B4E"/>
    <w:rsid w:val="003B35AB"/>
    <w:rsid w:val="0043153B"/>
    <w:rsid w:val="00471B90"/>
    <w:rsid w:val="00565BC5"/>
    <w:rsid w:val="005C724C"/>
    <w:rsid w:val="00602495"/>
    <w:rsid w:val="00602B1D"/>
    <w:rsid w:val="0060389D"/>
    <w:rsid w:val="00712409"/>
    <w:rsid w:val="00717F78"/>
    <w:rsid w:val="00740CE6"/>
    <w:rsid w:val="00826A51"/>
    <w:rsid w:val="008D0874"/>
    <w:rsid w:val="00A61F0C"/>
    <w:rsid w:val="00B013A6"/>
    <w:rsid w:val="00B100AD"/>
    <w:rsid w:val="00B5170B"/>
    <w:rsid w:val="00B53E99"/>
    <w:rsid w:val="00BA66E4"/>
    <w:rsid w:val="00BD2744"/>
    <w:rsid w:val="00C05ECF"/>
    <w:rsid w:val="00C22E9C"/>
    <w:rsid w:val="00C95813"/>
    <w:rsid w:val="00CF70F0"/>
    <w:rsid w:val="00D06ABF"/>
    <w:rsid w:val="00D42AF0"/>
    <w:rsid w:val="00D4414F"/>
    <w:rsid w:val="00D46ACD"/>
    <w:rsid w:val="00D6473B"/>
    <w:rsid w:val="00DE0CB7"/>
    <w:rsid w:val="00E00157"/>
    <w:rsid w:val="00EF6AD6"/>
    <w:rsid w:val="00F11043"/>
    <w:rsid w:val="00F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F0C"/>
    <w:pPr>
      <w:ind w:left="720"/>
      <w:contextualSpacing/>
    </w:pPr>
  </w:style>
  <w:style w:type="table" w:styleId="TableGrid">
    <w:name w:val="Table Grid"/>
    <w:basedOn w:val="TableNormal"/>
    <w:uiPriority w:val="59"/>
    <w:rsid w:val="00D4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BD2744"/>
    <w:pPr>
      <w:numPr>
        <w:numId w:val="2"/>
      </w:numPr>
      <w:tabs>
        <w:tab w:val="left" w:pos="567"/>
      </w:tabs>
      <w:spacing w:after="60" w:line="280" w:lineRule="exact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F0C"/>
    <w:pPr>
      <w:ind w:left="720"/>
      <w:contextualSpacing/>
    </w:pPr>
  </w:style>
  <w:style w:type="table" w:styleId="TableGrid">
    <w:name w:val="Table Grid"/>
    <w:basedOn w:val="TableNormal"/>
    <w:uiPriority w:val="59"/>
    <w:rsid w:val="00D4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BD2744"/>
    <w:pPr>
      <w:numPr>
        <w:numId w:val="2"/>
      </w:numPr>
      <w:tabs>
        <w:tab w:val="left" w:pos="567"/>
      </w:tabs>
      <w:spacing w:after="60" w:line="280" w:lineRule="exac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Gray</dc:creator>
  <cp:lastModifiedBy>Graeme Findlay</cp:lastModifiedBy>
  <cp:revision>4</cp:revision>
  <cp:lastPrinted>2013-07-09T11:02:00Z</cp:lastPrinted>
  <dcterms:created xsi:type="dcterms:W3CDTF">2015-07-22T13:31:00Z</dcterms:created>
  <dcterms:modified xsi:type="dcterms:W3CDTF">2015-07-28T09:30:00Z</dcterms:modified>
</cp:coreProperties>
</file>