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45F" w14:textId="77777777" w:rsidR="00FE4F14" w:rsidRDefault="00F94B14" w:rsidP="00FE4F14">
      <w:pPr>
        <w:pStyle w:val="Heading2"/>
        <w:jc w:val="right"/>
      </w:pPr>
      <w:r>
        <w:rPr>
          <w:noProof/>
          <w:lang w:eastAsia="zh-CN"/>
        </w:rPr>
        <w:pict w14:anchorId="58FB8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.25pt;height:74.75pt;visibility:visible">
            <v:imagedata r:id="rId11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64D38D8B" w14:textId="77777777" w:rsidTr="0059350D">
        <w:tc>
          <w:tcPr>
            <w:tcW w:w="1914" w:type="dxa"/>
            <w:shd w:val="clear" w:color="auto" w:fill="auto"/>
          </w:tcPr>
          <w:p w14:paraId="53011CA3" w14:textId="77777777" w:rsidR="00BE5DEF" w:rsidRDefault="00D37789" w:rsidP="00BE5DEF">
            <w:pPr>
              <w:pStyle w:val="GACode"/>
            </w:pPr>
            <w:r>
              <w:t>GT41 25</w:t>
            </w:r>
          </w:p>
        </w:tc>
        <w:tc>
          <w:tcPr>
            <w:tcW w:w="7372" w:type="dxa"/>
            <w:shd w:val="clear" w:color="auto" w:fill="auto"/>
          </w:tcPr>
          <w:p w14:paraId="6CB48808" w14:textId="77777777" w:rsidR="00BE5DEF" w:rsidRPr="00BE5DEF" w:rsidRDefault="003B0F00" w:rsidP="00BE5DEF">
            <w:pPr>
              <w:pStyle w:val="GATitle"/>
            </w:pPr>
            <w:r w:rsidRPr="003B0F00">
              <w:t>SVQ in Construction Site Management (Construction)</w:t>
            </w:r>
            <w:r w:rsidR="00C50455">
              <w:t>:</w:t>
            </w:r>
            <w:r w:rsidRPr="003B0F00">
              <w:t xml:space="preserve"> Retrofit at SCQF Level 10</w:t>
            </w:r>
            <w:r w:rsidR="00627760" w:rsidRPr="00627760">
              <w:tab/>
            </w:r>
            <w:r w:rsidR="003D682F" w:rsidRPr="003D682F">
              <w:tab/>
            </w:r>
            <w:r w:rsidR="003D682F" w:rsidRPr="003D682F">
              <w:tab/>
            </w:r>
            <w:r w:rsidR="00817BB5" w:rsidRPr="00817BB5">
              <w:tab/>
            </w:r>
          </w:p>
        </w:tc>
      </w:tr>
    </w:tbl>
    <w:p w14:paraId="22EA0A67" w14:textId="77777777" w:rsidR="00BE5DEF" w:rsidRDefault="00BE5DEF" w:rsidP="00203846"/>
    <w:p w14:paraId="079DE365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1E38D6">
        <w:rPr>
          <w:sz w:val="28"/>
          <w:szCs w:val="28"/>
        </w:rPr>
        <w:t>230</w:t>
      </w:r>
      <w:r w:rsidRPr="00DC44CE">
        <w:rPr>
          <w:sz w:val="28"/>
          <w:szCs w:val="28"/>
        </w:rPr>
        <w:tab/>
        <w:t xml:space="preserve">Maximum </w:t>
      </w:r>
      <w:r w:rsidR="001E38D6">
        <w:rPr>
          <w:sz w:val="28"/>
          <w:szCs w:val="28"/>
        </w:rPr>
        <w:t>24</w:t>
      </w:r>
      <w:r w:rsidR="00AC34F2">
        <w:rPr>
          <w:sz w:val="28"/>
          <w:szCs w:val="28"/>
        </w:rPr>
        <w:t>5</w:t>
      </w:r>
    </w:p>
    <w:p w14:paraId="4F29423A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01277E9A" w14:textId="77777777" w:rsidTr="006B1378">
        <w:tc>
          <w:tcPr>
            <w:tcW w:w="9242" w:type="dxa"/>
            <w:shd w:val="clear" w:color="auto" w:fill="C6D9F1"/>
          </w:tcPr>
          <w:p w14:paraId="13974483" w14:textId="77777777" w:rsidR="00F94B14" w:rsidRDefault="00F94B14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04235FC3" w14:textId="77777777" w:rsidR="00F94B14" w:rsidRDefault="00984880" w:rsidP="00A337AB">
            <w:pPr>
              <w:rPr>
                <w:rFonts w:cs="Arial"/>
                <w:b/>
                <w:bCs/>
                <w:lang w:val="en-US"/>
              </w:rPr>
            </w:pPr>
            <w:r w:rsidRPr="00984880">
              <w:rPr>
                <w:rFonts w:cs="Arial"/>
                <w:b/>
                <w:bCs/>
                <w:lang w:val="en-US"/>
              </w:rPr>
              <w:t>This SVQ comprises</w:t>
            </w:r>
            <w:r w:rsidR="00F94B14">
              <w:rPr>
                <w:rFonts w:cs="Arial"/>
                <w:b/>
                <w:bCs/>
                <w:lang w:val="en-US"/>
              </w:rPr>
              <w:t>:</w:t>
            </w:r>
          </w:p>
          <w:p w14:paraId="6F2D74A4" w14:textId="77777777" w:rsidR="00F94B14" w:rsidRDefault="00F94B14" w:rsidP="00A337AB">
            <w:pPr>
              <w:rPr>
                <w:rFonts w:cs="Arial"/>
                <w:b/>
                <w:bCs/>
                <w:lang w:val="en-US"/>
              </w:rPr>
            </w:pPr>
          </w:p>
          <w:p w14:paraId="711DEB67" w14:textId="77777777" w:rsidR="00AC7303" w:rsidRDefault="00F94B14" w:rsidP="00F94B14">
            <w:pPr>
              <w:numPr>
                <w:ilvl w:val="0"/>
                <w:numId w:val="15"/>
              </w:numPr>
            </w:pPr>
            <w:r>
              <w:t>18 Mandatory Units</w:t>
            </w:r>
          </w:p>
          <w:p w14:paraId="762166A9" w14:textId="77777777" w:rsidR="00F94B14" w:rsidRDefault="00F94B14" w:rsidP="00F94B14">
            <w:pPr>
              <w:numPr>
                <w:ilvl w:val="0"/>
                <w:numId w:val="15"/>
              </w:numPr>
            </w:pPr>
            <w:r>
              <w:t>2 Optional Units</w:t>
            </w:r>
          </w:p>
          <w:p w14:paraId="7CDE8F2C" w14:textId="6F1790F8" w:rsidR="00F94B14" w:rsidRPr="00F94B14" w:rsidRDefault="00F94B14" w:rsidP="00F94B14">
            <w:pPr>
              <w:ind w:left="720"/>
            </w:pPr>
          </w:p>
        </w:tc>
      </w:tr>
    </w:tbl>
    <w:p w14:paraId="633097E9" w14:textId="77777777" w:rsidR="005456E8" w:rsidRDefault="005456E8" w:rsidP="005456E8">
      <w:pPr>
        <w:rPr>
          <w:lang w:val="en-US"/>
        </w:rPr>
      </w:pPr>
    </w:p>
    <w:p w14:paraId="5A40A7CD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7D7246D3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2F6948E0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24140750" w14:textId="77777777" w:rsidR="00C10F4B" w:rsidRPr="00EB4806" w:rsidRDefault="00BA0D24" w:rsidP="001501A4">
            <w:pPr>
              <w:pStyle w:val="TableheadingLeft"/>
            </w:pPr>
            <w:r>
              <w:t>1</w:t>
            </w:r>
            <w:r w:rsidR="001E38D6">
              <w:t>8</w:t>
            </w:r>
            <w:r>
              <w:t xml:space="preserve"> </w:t>
            </w:r>
            <w:r w:rsidR="007804F7">
              <w:t xml:space="preserve">Mandatory </w:t>
            </w:r>
            <w:r w:rsidR="00585866">
              <w:t>unit</w:t>
            </w:r>
            <w:r w:rsidR="007804F7"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>1</w:t>
            </w:r>
            <w:r w:rsidR="001E38D6">
              <w:t>8</w:t>
            </w:r>
            <w:r w:rsidR="004C0CF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4BE5E47E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751D97C8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0B54CEC4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4F8CF976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6E4B0FE9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50AE5B00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4B74EC48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4D7B9947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1B07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40A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1BD3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F79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1E38D6" w:rsidRPr="00EB4806" w14:paraId="59D5A5F8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5F997280" w14:textId="77777777" w:rsidR="001E38D6" w:rsidRPr="007804F7" w:rsidRDefault="00430B5D" w:rsidP="001E38D6">
            <w:pPr>
              <w:pStyle w:val="tabletextleft"/>
            </w:pPr>
            <w:r>
              <w:t>J60D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8B5E" w14:textId="77777777" w:rsidR="001E38D6" w:rsidRPr="007804F7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COSVR713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5A16" w14:textId="77777777" w:rsidR="001E38D6" w:rsidRPr="007804F7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Allocate Work and Monitor People's Performance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B5AA" w14:textId="77777777" w:rsidR="001E38D6" w:rsidRPr="00C02FA8" w:rsidRDefault="001E38D6" w:rsidP="001E38D6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306" w14:textId="77777777" w:rsidR="001E38D6" w:rsidRPr="00C02FA8" w:rsidRDefault="001E38D6" w:rsidP="001E38D6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1E38D6" w:rsidRPr="00EB4806" w14:paraId="132735DA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744CFE4C" w14:textId="77777777" w:rsidR="001E38D6" w:rsidRDefault="00430B5D" w:rsidP="001E38D6">
            <w:pPr>
              <w:pStyle w:val="tabletextleft"/>
            </w:pPr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9655" w14:textId="77777777" w:rsidR="001E38D6" w:rsidRPr="00817BB5" w:rsidRDefault="001E38D6" w:rsidP="001E38D6">
            <w:pPr>
              <w:pStyle w:val="tabletextleft"/>
            </w:pPr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03EF" w14:textId="77777777" w:rsidR="001E38D6" w:rsidRPr="00817BB5" w:rsidRDefault="001E38D6" w:rsidP="001E38D6">
            <w:pPr>
              <w:pStyle w:val="tabletextleft"/>
            </w:pPr>
            <w:r>
              <w:rPr>
                <w:rFonts w:cs="Arial"/>
              </w:rPr>
              <w:t>Contribute To the Identification of a Work Team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57B" w14:textId="77777777" w:rsidR="001E38D6" w:rsidRDefault="001E38D6" w:rsidP="001E38D6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01D6" w14:textId="77777777" w:rsidR="001E38D6" w:rsidRDefault="001E38D6" w:rsidP="001E38D6">
            <w:pPr>
              <w:pStyle w:val="tabletextcentred"/>
            </w:pPr>
            <w:r>
              <w:t>8</w:t>
            </w:r>
          </w:p>
        </w:tc>
      </w:tr>
      <w:tr w:rsidR="001E38D6" w:rsidRPr="00EB4806" w14:paraId="34CA6821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6249AE21" w14:textId="77777777" w:rsidR="001E38D6" w:rsidRDefault="00430B5D" w:rsidP="001E38D6">
            <w:pPr>
              <w:pStyle w:val="tabletextleft"/>
            </w:pPr>
            <w:r>
              <w:t>J60E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2232" w14:textId="77777777" w:rsidR="001E38D6" w:rsidRPr="00817BB5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COSVR726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BD1" w14:textId="77777777" w:rsidR="001E38D6" w:rsidRPr="00817BB5" w:rsidRDefault="001E38D6" w:rsidP="001E38D6">
            <w:pPr>
              <w:pStyle w:val="tabletextleft"/>
            </w:pPr>
            <w:r>
              <w:rPr>
                <w:rFonts w:cs="Arial"/>
              </w:rPr>
              <w:t xml:space="preserve">Establish, Implement and Maintain Organisational Systems for Managing Health, Safety, Welfare </w:t>
            </w:r>
            <w:proofErr w:type="gramStart"/>
            <w:r>
              <w:rPr>
                <w:rFonts w:cs="Arial"/>
              </w:rPr>
              <w:t>And</w:t>
            </w:r>
            <w:proofErr w:type="gramEnd"/>
            <w:r>
              <w:rPr>
                <w:rFonts w:cs="Arial"/>
              </w:rPr>
              <w:t xml:space="preserve"> Wellbeing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3117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3C69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17</w:t>
            </w:r>
          </w:p>
        </w:tc>
      </w:tr>
      <w:tr w:rsidR="001E38D6" w:rsidRPr="00EB4806" w14:paraId="67C4E685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5409879D" w14:textId="77777777" w:rsidR="001E38D6" w:rsidRDefault="00430B5D" w:rsidP="001E38D6">
            <w:pPr>
              <w:pStyle w:val="tabletextleft"/>
            </w:pPr>
            <w:r>
              <w:t>J60F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72C5" w14:textId="77777777" w:rsidR="001E38D6" w:rsidRPr="00E554A1" w:rsidRDefault="001E38D6" w:rsidP="001E38D6">
            <w:pPr>
              <w:pStyle w:val="tabletextleft"/>
            </w:pPr>
            <w:r>
              <w:rPr>
                <w:rFonts w:cs="Arial"/>
              </w:rPr>
              <w:t>COSVR727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B627" w14:textId="77777777" w:rsidR="001E38D6" w:rsidRPr="00E554A1" w:rsidRDefault="001E38D6" w:rsidP="001E38D6">
            <w:pPr>
              <w:pStyle w:val="tabletextleft"/>
            </w:pPr>
            <w:r>
              <w:rPr>
                <w:rFonts w:cs="Arial"/>
              </w:rPr>
              <w:t>Establish, Control and Monitor Environmental Factors and Sustainability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ADB1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29A2" w14:textId="77777777" w:rsidR="001E38D6" w:rsidRDefault="001E38D6" w:rsidP="001E38D6">
            <w:pPr>
              <w:pStyle w:val="tabletextcentred"/>
            </w:pPr>
            <w:r>
              <w:t>17</w:t>
            </w:r>
          </w:p>
        </w:tc>
      </w:tr>
      <w:tr w:rsidR="001E38D6" w:rsidRPr="00EB4806" w14:paraId="61ED266D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07CC5EC7" w14:textId="77777777" w:rsidR="001E38D6" w:rsidRDefault="00430B5D" w:rsidP="001E38D6">
            <w:pPr>
              <w:pStyle w:val="tabletextleft"/>
            </w:pPr>
            <w:r>
              <w:t>J60G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F55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COSVR728 v4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BB4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Evaluate And Confirm Work Methods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1B2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7CCA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</w:tr>
      <w:tr w:rsidR="001E38D6" w:rsidRPr="00EB4806" w14:paraId="0A879DEF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61E803A7" w14:textId="77777777" w:rsidR="001E38D6" w:rsidRDefault="00430B5D" w:rsidP="001E38D6">
            <w:pPr>
              <w:pStyle w:val="tabletextleft"/>
            </w:pPr>
            <w:r>
              <w:t>J60H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8A1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COSVR729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EBE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Plan The Preparation of The Site for The Project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AF9E" w14:textId="77777777" w:rsidR="001E38D6" w:rsidRDefault="001E38D6" w:rsidP="001E38D6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1AC3" w14:textId="77777777" w:rsidR="001E38D6" w:rsidRDefault="001E38D6" w:rsidP="001E38D6">
            <w:pPr>
              <w:pStyle w:val="tabletextcentred"/>
            </w:pPr>
            <w:r>
              <w:t>16</w:t>
            </w:r>
          </w:p>
        </w:tc>
      </w:tr>
      <w:tr w:rsidR="001E38D6" w:rsidRPr="00EB4806" w14:paraId="6B93514A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0FC28D4E" w14:textId="77777777" w:rsidR="001E38D6" w:rsidRDefault="00430B5D" w:rsidP="001E38D6">
            <w:pPr>
              <w:pStyle w:val="tabletextleft"/>
            </w:pPr>
            <w:r>
              <w:t>J60J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94A5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COSVR730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755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Monitor Project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261B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A590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8</w:t>
            </w:r>
          </w:p>
        </w:tc>
      </w:tr>
      <w:tr w:rsidR="001E38D6" w:rsidRPr="00EB4806" w14:paraId="026EDDB9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0DA264C5" w14:textId="77777777" w:rsidR="001E38D6" w:rsidRDefault="00430B5D" w:rsidP="001E38D6">
            <w:pPr>
              <w:pStyle w:val="tabletextleft"/>
            </w:pPr>
            <w:r>
              <w:t>J60K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7CD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COSVR731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79B8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Ensure That Work Activities and Resources Meet Project Work Requirements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52B" w14:textId="77777777" w:rsidR="001E38D6" w:rsidRDefault="001E38D6" w:rsidP="001E38D6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A6B2" w14:textId="77777777" w:rsidR="001E38D6" w:rsidRDefault="001E38D6" w:rsidP="001E38D6">
            <w:pPr>
              <w:pStyle w:val="tabletextcentred"/>
            </w:pPr>
            <w:r>
              <w:t>16</w:t>
            </w:r>
          </w:p>
        </w:tc>
      </w:tr>
      <w:tr w:rsidR="001E38D6" w:rsidRPr="00EB4806" w14:paraId="53E8F01B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723CBAC6" w14:textId="77777777" w:rsidR="001E38D6" w:rsidRDefault="00430B5D" w:rsidP="001E38D6">
            <w:pPr>
              <w:pStyle w:val="tabletextleft"/>
            </w:pPr>
            <w:r>
              <w:t>J60L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4375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COSVR733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DEC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Organise, Control and Monitor Supplies of Materials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25F9" w14:textId="77777777" w:rsidR="001E38D6" w:rsidRDefault="001E38D6" w:rsidP="001E38D6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A6FC" w14:textId="77777777" w:rsidR="001E38D6" w:rsidRDefault="001E38D6" w:rsidP="001E38D6">
            <w:pPr>
              <w:pStyle w:val="tabletextcentred"/>
            </w:pPr>
            <w:r>
              <w:t>8</w:t>
            </w:r>
          </w:p>
        </w:tc>
      </w:tr>
      <w:tr w:rsidR="001E38D6" w:rsidRPr="00EB4806" w14:paraId="155CBEA6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2A501E7E" w14:textId="77777777" w:rsidR="001E38D6" w:rsidRDefault="00430B5D" w:rsidP="001E38D6">
            <w:pPr>
              <w:pStyle w:val="tabletextleft"/>
            </w:pPr>
            <w:r>
              <w:t>J60M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3B7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COSVR734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E94E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Identify And Maintain Communication Systems and Organisational Procedures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FC4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0AC4" w14:textId="77777777" w:rsidR="001E38D6" w:rsidRDefault="001E38D6" w:rsidP="001E38D6">
            <w:pPr>
              <w:pStyle w:val="tabletextcentred"/>
            </w:pPr>
            <w:r>
              <w:t>11</w:t>
            </w:r>
          </w:p>
        </w:tc>
      </w:tr>
      <w:tr w:rsidR="001E38D6" w:rsidRPr="00EB4806" w14:paraId="0CDBE1C9" w14:textId="77777777" w:rsidTr="001E38D6">
        <w:trPr>
          <w:trHeight w:val="454"/>
        </w:trPr>
        <w:tc>
          <w:tcPr>
            <w:tcW w:w="1242" w:type="dxa"/>
            <w:vAlign w:val="center"/>
          </w:tcPr>
          <w:p w14:paraId="220A97AF" w14:textId="77777777" w:rsidR="001E38D6" w:rsidRDefault="00430B5D" w:rsidP="001E38D6">
            <w:pPr>
              <w:pStyle w:val="tabletextleft"/>
            </w:pPr>
            <w:r>
              <w:t>J60N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2F4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COSVR735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5DF7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Control Project Progress Against Agreed Quality Standards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B6D5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4A5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1E38D6" w:rsidRPr="00EB4806" w14:paraId="7FA4805F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6A718873" w14:textId="77777777" w:rsidR="001E38D6" w:rsidRDefault="00430B5D" w:rsidP="001E38D6">
            <w:pPr>
              <w:pStyle w:val="tabletextleft"/>
            </w:pPr>
            <w:r>
              <w:t>J60P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98F8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COSVR737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8DE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Control Project Progress Against Agreed Programmes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E06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79B2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11</w:t>
            </w:r>
          </w:p>
        </w:tc>
      </w:tr>
      <w:tr w:rsidR="001E38D6" w:rsidRPr="00EB4806" w14:paraId="0426A042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64DDAD21" w14:textId="77777777" w:rsidR="001E38D6" w:rsidRDefault="00430B5D" w:rsidP="001E38D6">
            <w:pPr>
              <w:pStyle w:val="tabletextleft"/>
            </w:pPr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A521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AA2D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  <w:color w:val="000000"/>
              </w:rPr>
              <w:t>Manage Your Personal Development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22E3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548D" w14:textId="77777777" w:rsidR="001E38D6" w:rsidRDefault="001E38D6" w:rsidP="001E38D6">
            <w:pPr>
              <w:pStyle w:val="tabletextcentred"/>
            </w:pPr>
            <w:r>
              <w:rPr>
                <w:color w:val="000000"/>
              </w:rPr>
              <w:t>9</w:t>
            </w:r>
          </w:p>
        </w:tc>
      </w:tr>
      <w:tr w:rsidR="001E38D6" w:rsidRPr="00EB4806" w14:paraId="1A1DE4F0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58DEC157" w14:textId="77777777" w:rsidR="001E38D6" w:rsidRDefault="00430B5D" w:rsidP="001E38D6">
            <w:pPr>
              <w:pStyle w:val="tabletextleft"/>
            </w:pPr>
            <w:r>
              <w:t>J60T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1DBD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COSVR736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D486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Establish Dimensional Control Criteria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BB4" w14:textId="77777777" w:rsidR="001E38D6" w:rsidRDefault="001E38D6" w:rsidP="001E38D6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CFB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</w:tr>
      <w:tr w:rsidR="001E38D6" w:rsidRPr="00EB4806" w14:paraId="351586CB" w14:textId="77777777" w:rsidTr="001E38D6">
        <w:trPr>
          <w:trHeight w:val="454"/>
        </w:trPr>
        <w:tc>
          <w:tcPr>
            <w:tcW w:w="1242" w:type="dxa"/>
            <w:vAlign w:val="center"/>
          </w:tcPr>
          <w:p w14:paraId="07E4972B" w14:textId="77777777" w:rsidR="001E38D6" w:rsidRDefault="00430B5D" w:rsidP="001E38D6">
            <w:pPr>
              <w:pStyle w:val="tabletextleft"/>
            </w:pPr>
            <w:r>
              <w:t>J60V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723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COSVR738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498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Control Project Quantities and Costs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F73A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3727" w14:textId="77777777" w:rsidR="001E38D6" w:rsidRDefault="001E38D6" w:rsidP="001E38D6">
            <w:pPr>
              <w:pStyle w:val="tabletextcentred"/>
            </w:pPr>
            <w:r>
              <w:t>12</w:t>
            </w:r>
          </w:p>
        </w:tc>
      </w:tr>
      <w:tr w:rsidR="001E38D6" w:rsidRPr="00EB4806" w14:paraId="1AC57253" w14:textId="77777777" w:rsidTr="00FD4B3B">
        <w:trPr>
          <w:trHeight w:val="45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15E0F95C" w14:textId="77777777" w:rsidR="001E38D6" w:rsidRDefault="00430B5D" w:rsidP="001E38D6">
            <w:pPr>
              <w:pStyle w:val="tabletextleft"/>
            </w:pPr>
            <w:r>
              <w:t>J612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E934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COSVR756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653A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Plan The Installation of Retrofit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4D4B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D63" w14:textId="77777777" w:rsidR="001E38D6" w:rsidRDefault="001E38D6" w:rsidP="001E38D6">
            <w:pPr>
              <w:pStyle w:val="tabletextcentred"/>
            </w:pPr>
            <w:r>
              <w:t>16</w:t>
            </w:r>
          </w:p>
        </w:tc>
      </w:tr>
      <w:tr w:rsidR="001E38D6" w:rsidRPr="00EB4806" w14:paraId="5892F7FB" w14:textId="77777777" w:rsidTr="00FD4B3B">
        <w:trPr>
          <w:trHeight w:val="45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23BF8816" w14:textId="77777777" w:rsidR="001E38D6" w:rsidRDefault="00430B5D" w:rsidP="001E38D6">
            <w:pPr>
              <w:pStyle w:val="tabletextleft"/>
            </w:pPr>
            <w:r>
              <w:t>J613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74BC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>COSVR757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160" w14:textId="77777777" w:rsidR="001E38D6" w:rsidRPr="0010659F" w:rsidRDefault="001E38D6" w:rsidP="001E38D6">
            <w:pPr>
              <w:pStyle w:val="tabletextleft"/>
            </w:pPr>
            <w:r>
              <w:rPr>
                <w:rFonts w:cs="Arial"/>
              </w:rPr>
              <w:t xml:space="preserve">Manage Installation, Commissioning and Handover </w:t>
            </w:r>
            <w:r w:rsidR="00CF6A24">
              <w:rPr>
                <w:rFonts w:cs="Arial"/>
              </w:rPr>
              <w:t>of</w:t>
            </w:r>
            <w:r>
              <w:rPr>
                <w:rFonts w:cs="Arial"/>
              </w:rPr>
              <w:t xml:space="preserve"> Retrofit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8BE" w14:textId="77777777" w:rsidR="001E38D6" w:rsidRDefault="001E38D6" w:rsidP="001E38D6">
            <w:pPr>
              <w:pStyle w:val="tabletextcentred"/>
            </w:pPr>
            <w: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74D6" w14:textId="77777777" w:rsidR="001E38D6" w:rsidRDefault="001E38D6" w:rsidP="001E38D6">
            <w:pPr>
              <w:pStyle w:val="tabletextcentred"/>
            </w:pPr>
            <w:r>
              <w:t>16</w:t>
            </w:r>
          </w:p>
        </w:tc>
      </w:tr>
    </w:tbl>
    <w:p w14:paraId="1940388B" w14:textId="77777777" w:rsidR="0000491C" w:rsidRDefault="0000491C"/>
    <w:p w14:paraId="4FC5F699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1D64275C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78923E12" w14:textId="77777777" w:rsidR="004C0CF3" w:rsidRDefault="00B67966" w:rsidP="0000491C">
            <w:pPr>
              <w:rPr>
                <w:b/>
              </w:rPr>
            </w:pPr>
            <w:r>
              <w:rPr>
                <w:b/>
              </w:rPr>
              <w:t>2</w:t>
            </w:r>
            <w:r w:rsidR="004C0CF3">
              <w:rPr>
                <w:b/>
              </w:rPr>
              <w:t xml:space="preserve"> OPTIONAL UNIT</w:t>
            </w:r>
            <w:r>
              <w:rPr>
                <w:b/>
              </w:rPr>
              <w:t>S</w:t>
            </w:r>
          </w:p>
        </w:tc>
      </w:tr>
      <w:tr w:rsidR="0000491C" w:rsidRPr="0000491C" w14:paraId="035E494B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2646C0C7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</w:t>
            </w:r>
            <w:r w:rsidR="00B67966">
              <w:rPr>
                <w:b/>
              </w:rPr>
              <w:t>2</w:t>
            </w:r>
            <w:r w:rsidR="0000491C">
              <w:rPr>
                <w:b/>
              </w:rPr>
              <w:t xml:space="preserve"> unit</w:t>
            </w:r>
            <w:r w:rsidR="00B67966">
              <w:rPr>
                <w:b/>
              </w:rPr>
              <w:t>s</w:t>
            </w:r>
            <w:r w:rsidR="0000491C">
              <w:rPr>
                <w:b/>
              </w:rPr>
              <w:t xml:space="preserve">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6CE02FBE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532E8229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3A443669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65E839FA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190511E0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728B80FC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B374FA" w:rsidRPr="0000491C" w14:paraId="62CE6453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6F9470F3" w14:textId="77777777" w:rsidR="00B374FA" w:rsidRPr="0000491C" w:rsidRDefault="00430B5D" w:rsidP="00B374FA">
            <w:r>
              <w:t>J601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0DE5" w14:textId="77777777" w:rsidR="00B374FA" w:rsidRPr="0000491C" w:rsidRDefault="00B374FA" w:rsidP="00B374FA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C829" w14:textId="77777777" w:rsidR="00B374FA" w:rsidRPr="0000491C" w:rsidRDefault="00B374FA" w:rsidP="00B374FA">
            <w:r>
              <w:rPr>
                <w:rFonts w:cs="Arial"/>
              </w:rPr>
              <w:t>Enable Learning Opportunities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88B1" w14:textId="77777777" w:rsidR="00B374FA" w:rsidRPr="0000491C" w:rsidRDefault="00B374FA" w:rsidP="00B374FA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9FD5" w14:textId="77777777" w:rsidR="00B374FA" w:rsidRPr="0000491C" w:rsidRDefault="00B374FA" w:rsidP="00B374FA">
            <w:r>
              <w:rPr>
                <w:rFonts w:cs="Arial"/>
              </w:rPr>
              <w:t>11</w:t>
            </w:r>
          </w:p>
        </w:tc>
      </w:tr>
      <w:tr w:rsidR="00B374FA" w:rsidRPr="0000491C" w14:paraId="39F04BBB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22EBBBF7" w14:textId="77777777" w:rsidR="00B374FA" w:rsidRPr="0000491C" w:rsidRDefault="00430B5D" w:rsidP="00B374FA"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737" w14:textId="77777777" w:rsidR="00B374FA" w:rsidRPr="0000491C" w:rsidRDefault="00B374FA" w:rsidP="00B374FA"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91" w14:textId="77777777" w:rsidR="00B374FA" w:rsidRPr="00522A82" w:rsidRDefault="00B374FA" w:rsidP="00B374FA">
            <w:pPr>
              <w:rPr>
                <w:color w:val="000000" w:themeColor="text1"/>
              </w:rPr>
            </w:pPr>
            <w:r w:rsidRPr="00522A82">
              <w:rPr>
                <w:rFonts w:cs="Arial"/>
                <w:color w:val="000000" w:themeColor="text1"/>
              </w:rPr>
              <w:t>Provide Customer Service</w:t>
            </w:r>
            <w:r w:rsidR="00CF6A24" w:rsidRPr="00522A82">
              <w:rPr>
                <w:rFonts w:cs="Arial"/>
                <w:color w:val="000000" w:themeColor="text1"/>
              </w:rPr>
              <w:t>s</w:t>
            </w:r>
            <w:r w:rsidRPr="00522A82">
              <w:rPr>
                <w:rFonts w:cs="Arial"/>
                <w:color w:val="000000" w:themeColor="text1"/>
              </w:rPr>
              <w:t xml:space="preserve"> in Construction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12AB" w14:textId="77777777" w:rsidR="00B374FA" w:rsidRPr="0000491C" w:rsidRDefault="00B374FA" w:rsidP="00B374FA"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0A9" w14:textId="77777777" w:rsidR="00B374FA" w:rsidRPr="0000491C" w:rsidRDefault="00B374FA" w:rsidP="00B374FA">
            <w:r>
              <w:rPr>
                <w:rFonts w:cs="Arial"/>
              </w:rPr>
              <w:t>9</w:t>
            </w:r>
          </w:p>
        </w:tc>
      </w:tr>
      <w:tr w:rsidR="00B374FA" w:rsidRPr="0000491C" w14:paraId="773771C8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529613D5" w14:textId="77777777" w:rsidR="00B374FA" w:rsidRDefault="00430B5D" w:rsidP="00B374FA"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B67B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04C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7DC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449F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B374FA" w:rsidRPr="0000491C" w14:paraId="6513EBEC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251506C2" w14:textId="77777777" w:rsidR="00B374FA" w:rsidRDefault="00430B5D" w:rsidP="00B374FA"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91E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92B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 xml:space="preserve">Supervise Activities to Traditional and Heritage Buildings </w:t>
            </w:r>
            <w:r w:rsidR="00CF6A24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Structures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6539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03EF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B374FA" w:rsidRPr="0000491C" w14:paraId="1F8AABDF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484E9F91" w14:textId="77777777" w:rsidR="00B374FA" w:rsidRPr="0000491C" w:rsidRDefault="00DC3DE4" w:rsidP="00B374FA"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78F" w14:textId="77777777" w:rsidR="00B374FA" w:rsidRPr="0000491C" w:rsidRDefault="00B374FA" w:rsidP="00B374FA"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02D" w14:textId="77777777" w:rsidR="00B374FA" w:rsidRPr="0000491C" w:rsidRDefault="00B374FA" w:rsidP="00B374FA"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9CCE" w14:textId="77777777" w:rsidR="00B374FA" w:rsidRPr="0000491C" w:rsidRDefault="00B374FA" w:rsidP="00B374FA">
            <w:r>
              <w:rPr>
                <w:rFonts w:cs="Arial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55FD" w14:textId="77777777" w:rsidR="00B374FA" w:rsidRPr="0000491C" w:rsidRDefault="00B374FA" w:rsidP="00B374FA">
            <w:r>
              <w:rPr>
                <w:rFonts w:cs="Arial"/>
              </w:rPr>
              <w:t>12</w:t>
            </w:r>
          </w:p>
        </w:tc>
      </w:tr>
      <w:tr w:rsidR="00B374FA" w:rsidRPr="0000491C" w14:paraId="2AAC6DAC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25F03F23" w14:textId="77777777" w:rsidR="00B374FA" w:rsidRPr="0000491C" w:rsidRDefault="00DC3DE4" w:rsidP="00B374FA">
            <w:r>
              <w:t>J60W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33E" w14:textId="77777777" w:rsidR="00B374FA" w:rsidRPr="0000491C" w:rsidRDefault="00B374FA" w:rsidP="00B374FA">
            <w:r>
              <w:rPr>
                <w:rFonts w:cs="Arial"/>
              </w:rPr>
              <w:t>COSVR739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369D" w14:textId="77777777" w:rsidR="00B374FA" w:rsidRPr="0000491C" w:rsidRDefault="00B374FA" w:rsidP="00B374FA">
            <w:r>
              <w:rPr>
                <w:rFonts w:cs="Arial"/>
              </w:rPr>
              <w:t>Evaluate Feedback and Make Recommendations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FB81" w14:textId="77777777" w:rsidR="00B374FA" w:rsidRPr="0000491C" w:rsidRDefault="00B374FA" w:rsidP="00B374FA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4EDD" w14:textId="77777777" w:rsidR="00B374FA" w:rsidRPr="0000491C" w:rsidRDefault="00B374FA" w:rsidP="00B374FA">
            <w:r>
              <w:rPr>
                <w:rFonts w:cs="Arial"/>
              </w:rPr>
              <w:t>8</w:t>
            </w:r>
          </w:p>
        </w:tc>
      </w:tr>
      <w:tr w:rsidR="00B374FA" w:rsidRPr="0000491C" w14:paraId="55E0AA65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33F81CDA" w14:textId="77777777" w:rsidR="00B374FA" w:rsidRDefault="00DC3DE4" w:rsidP="00B374FA">
            <w:r>
              <w:t>J60Y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A7F8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COSVR741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98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 xml:space="preserve">Plan </w:t>
            </w:r>
            <w:r w:rsidR="00CF6A2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nd Schedule the Maintenance Activities of Property, Services or Systems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252D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D03E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B374FA" w:rsidRPr="0000491C" w14:paraId="7FD960C8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26F5D6A9" w14:textId="77777777" w:rsidR="00B374FA" w:rsidRDefault="00DC3DE4" w:rsidP="00B374FA">
            <w:r>
              <w:t>J60X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F6F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COSVR758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E72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 </w:t>
            </w:r>
            <w:r w:rsidR="00CF6A24">
              <w:rPr>
                <w:rFonts w:cs="Arial"/>
              </w:rPr>
              <w:t>t</w:t>
            </w:r>
            <w:r>
              <w:rPr>
                <w:rFonts w:cs="Arial"/>
              </w:rPr>
              <w:t>he Installation, Maintenance, Monitoring and Removal of Temporary Works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58D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788B" w14:textId="77777777" w:rsidR="00B374FA" w:rsidRDefault="00B374FA" w:rsidP="00B374FA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</w:tbl>
    <w:p w14:paraId="5162D543" w14:textId="77777777" w:rsidR="0000491C" w:rsidRDefault="0000491C"/>
    <w:p w14:paraId="579C47E0" w14:textId="77777777" w:rsidR="00234733" w:rsidRDefault="002347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9750FC" w14:paraId="03D2B80F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217E42BB" w14:textId="284B190C" w:rsidR="00C06B96" w:rsidRPr="003F18F1" w:rsidRDefault="009B5232" w:rsidP="00C06B96">
            <w:pPr>
              <w:pStyle w:val="TableheadingLeft"/>
            </w:pPr>
            <w:bookmarkStart w:id="0" w:name="_Hlk70616421"/>
            <w:r w:rsidRPr="003F18F1">
              <w:t>ADDITIONAL UNITS</w:t>
            </w:r>
            <w:r w:rsidR="00C06B96" w:rsidRPr="003F18F1">
              <w:tab/>
            </w:r>
            <w:r w:rsidRPr="003F18F1">
              <w:t xml:space="preserve">(Not </w:t>
            </w:r>
            <w:r w:rsidR="00F94B14">
              <w:t>compulsory</w:t>
            </w:r>
            <w:r w:rsidRPr="003F18F1">
              <w:t>)</w:t>
            </w:r>
            <w:r w:rsidR="00C06B96" w:rsidRPr="003F18F1">
              <w:tab/>
            </w:r>
          </w:p>
        </w:tc>
      </w:tr>
      <w:tr w:rsidR="007804F7" w:rsidRPr="009750FC" w14:paraId="7131DF5F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45EBCCCC" w14:textId="77777777" w:rsidR="007804F7" w:rsidRPr="003F18F1" w:rsidRDefault="007804F7" w:rsidP="001501A4">
            <w:pPr>
              <w:pStyle w:val="TableheadingLeft"/>
            </w:pPr>
            <w:r w:rsidRPr="003F18F1">
              <w:t>SQA code</w:t>
            </w:r>
          </w:p>
        </w:tc>
        <w:tc>
          <w:tcPr>
            <w:tcW w:w="1764" w:type="dxa"/>
            <w:vAlign w:val="center"/>
          </w:tcPr>
          <w:p w14:paraId="021C948A" w14:textId="77777777" w:rsidR="007804F7" w:rsidRPr="003F18F1" w:rsidRDefault="007804F7" w:rsidP="001501A4">
            <w:pPr>
              <w:pStyle w:val="TableheadingLeft"/>
            </w:pPr>
            <w:r w:rsidRPr="003F18F1">
              <w:t>SSC code</w:t>
            </w:r>
          </w:p>
        </w:tc>
        <w:tc>
          <w:tcPr>
            <w:tcW w:w="4297" w:type="dxa"/>
            <w:vAlign w:val="center"/>
          </w:tcPr>
          <w:p w14:paraId="1D7B313A" w14:textId="77777777" w:rsidR="007804F7" w:rsidRPr="003F18F1" w:rsidRDefault="007804F7" w:rsidP="001501A4">
            <w:pPr>
              <w:pStyle w:val="TableheadingLeft"/>
            </w:pPr>
            <w:r w:rsidRPr="003F18F1">
              <w:t>Title</w:t>
            </w:r>
          </w:p>
        </w:tc>
        <w:tc>
          <w:tcPr>
            <w:tcW w:w="969" w:type="dxa"/>
            <w:vAlign w:val="center"/>
          </w:tcPr>
          <w:p w14:paraId="1A1C2F4E" w14:textId="77777777" w:rsidR="007804F7" w:rsidRPr="003F18F1" w:rsidRDefault="007804F7" w:rsidP="00FE092B">
            <w:pPr>
              <w:pStyle w:val="Tableheadingcentred"/>
            </w:pPr>
            <w:r w:rsidRPr="003F18F1">
              <w:t>SCQF level</w:t>
            </w:r>
          </w:p>
        </w:tc>
        <w:tc>
          <w:tcPr>
            <w:tcW w:w="970" w:type="dxa"/>
            <w:vAlign w:val="center"/>
          </w:tcPr>
          <w:p w14:paraId="464F746A" w14:textId="77777777" w:rsidR="007804F7" w:rsidRPr="003F18F1" w:rsidRDefault="007804F7" w:rsidP="00FE092B">
            <w:pPr>
              <w:pStyle w:val="Tableheadingcentred"/>
            </w:pPr>
            <w:r w:rsidRPr="003F18F1">
              <w:t>SCQF credits</w:t>
            </w:r>
          </w:p>
        </w:tc>
      </w:tr>
      <w:tr w:rsidR="00B374FA" w:rsidRPr="009750FC" w14:paraId="00CD362C" w14:textId="77777777" w:rsidTr="00605A38">
        <w:trPr>
          <w:trHeight w:val="454"/>
        </w:trPr>
        <w:tc>
          <w:tcPr>
            <w:tcW w:w="1242" w:type="dxa"/>
            <w:vAlign w:val="center"/>
          </w:tcPr>
          <w:p w14:paraId="215329B0" w14:textId="77777777" w:rsidR="00B374FA" w:rsidRPr="003F18F1" w:rsidRDefault="00DC3DE4" w:rsidP="00B374FA">
            <w:pPr>
              <w:pStyle w:val="TableheadingLeft"/>
              <w:rPr>
                <w:b w:val="0"/>
                <w:bCs/>
              </w:rPr>
            </w:pPr>
            <w:r w:rsidRPr="003F18F1">
              <w:rPr>
                <w:b w:val="0"/>
                <w:bCs/>
              </w:rPr>
              <w:t>J604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741" w14:textId="77777777" w:rsidR="00B374FA" w:rsidRPr="003F18F1" w:rsidRDefault="00B374FA" w:rsidP="00B374FA">
            <w:pPr>
              <w:pStyle w:val="TableheadingLeft"/>
              <w:rPr>
                <w:b w:val="0"/>
                <w:bCs/>
              </w:rPr>
            </w:pPr>
            <w:r w:rsidRPr="003F18F1">
              <w:rPr>
                <w:rFonts w:cs="Arial"/>
                <w:b w:val="0"/>
                <w:bCs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F292" w14:textId="77777777" w:rsidR="00B374FA" w:rsidRPr="003F18F1" w:rsidRDefault="00B374FA" w:rsidP="00B374FA">
            <w:pPr>
              <w:pStyle w:val="TableheadingLeft"/>
              <w:rPr>
                <w:b w:val="0"/>
                <w:bCs/>
              </w:rPr>
            </w:pPr>
            <w:r w:rsidRPr="003F18F1">
              <w:rPr>
                <w:rFonts w:cs="Arial"/>
                <w:b w:val="0"/>
                <w:bCs/>
              </w:rPr>
              <w:t>Plan Highways Maintenance and Repair Activities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074" w14:textId="77777777" w:rsidR="00B374FA" w:rsidRPr="003F18F1" w:rsidRDefault="00B374FA" w:rsidP="00B374FA">
            <w:pPr>
              <w:pStyle w:val="Tableheadingcentred"/>
              <w:rPr>
                <w:b w:val="0"/>
                <w:bCs/>
              </w:rPr>
            </w:pPr>
            <w:r w:rsidRPr="003F18F1">
              <w:rPr>
                <w:rFonts w:cs="Arial"/>
                <w:b w:val="0"/>
                <w:bCs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EDE5" w14:textId="77777777" w:rsidR="00B374FA" w:rsidRPr="003F18F1" w:rsidRDefault="00B374FA" w:rsidP="00B374FA">
            <w:pPr>
              <w:pStyle w:val="Tableheadingcentred"/>
              <w:rPr>
                <w:b w:val="0"/>
                <w:bCs/>
              </w:rPr>
            </w:pPr>
            <w:r w:rsidRPr="003F18F1">
              <w:rPr>
                <w:rFonts w:cs="Arial"/>
                <w:b w:val="0"/>
                <w:bCs/>
              </w:rPr>
              <w:t>12</w:t>
            </w:r>
          </w:p>
        </w:tc>
      </w:tr>
      <w:tr w:rsidR="00B374FA" w:rsidRPr="009750FC" w14:paraId="45EA3F7A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5BA3F081" w14:textId="77777777" w:rsidR="00B374FA" w:rsidRPr="003F18F1" w:rsidRDefault="00DC3DE4" w:rsidP="00B374FA">
            <w:pPr>
              <w:pStyle w:val="tabletextleft"/>
            </w:pPr>
            <w:r w:rsidRPr="003F18F1"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962" w14:textId="77777777" w:rsidR="00B374FA" w:rsidRPr="003F18F1" w:rsidRDefault="00B374FA" w:rsidP="00B374FA">
            <w:pPr>
              <w:pStyle w:val="tabletextleft"/>
            </w:pPr>
            <w:r w:rsidRPr="003F18F1"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E5B5" w14:textId="77777777" w:rsidR="00B374FA" w:rsidRPr="003F18F1" w:rsidRDefault="00B374FA" w:rsidP="00B374FA">
            <w:pPr>
              <w:pStyle w:val="tabletextleft"/>
            </w:pPr>
            <w:r w:rsidRPr="003F18F1"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3A2D" w14:textId="77777777" w:rsidR="00B374FA" w:rsidRPr="003F18F1" w:rsidRDefault="00B374FA" w:rsidP="00B374FA">
            <w:pPr>
              <w:pStyle w:val="tabletextcentred"/>
            </w:pPr>
            <w:r w:rsidRPr="003F18F1"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BFFE" w14:textId="77777777" w:rsidR="00B374FA" w:rsidRPr="003F18F1" w:rsidRDefault="00B374FA" w:rsidP="00B374FA">
            <w:pPr>
              <w:pStyle w:val="tabletextcentred"/>
            </w:pPr>
            <w:r w:rsidRPr="003F18F1">
              <w:t>15</w:t>
            </w:r>
          </w:p>
        </w:tc>
      </w:tr>
      <w:tr w:rsidR="00B374FA" w:rsidRPr="009750FC" w14:paraId="3A4F83DB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4691FABF" w14:textId="77777777" w:rsidR="00B374FA" w:rsidRPr="00B4363C" w:rsidRDefault="00DC3DE4" w:rsidP="00B374FA">
            <w:pPr>
              <w:pStyle w:val="tabletextleft"/>
            </w:pPr>
            <w:r w:rsidRPr="00B4363C">
              <w:t>J60</w:t>
            </w:r>
            <w:r w:rsidR="003F18F1" w:rsidRPr="00B4363C">
              <w:t>S</w:t>
            </w:r>
            <w:r w:rsidRPr="00B4363C">
              <w:t xml:space="preserve"> 04</w:t>
            </w:r>
          </w:p>
          <w:p w14:paraId="694D398A" w14:textId="77777777" w:rsidR="003F18F1" w:rsidRPr="00B4363C" w:rsidRDefault="003F18F1" w:rsidP="00B374FA">
            <w:pPr>
              <w:pStyle w:val="tabletextleft"/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6043" w14:textId="77777777" w:rsidR="00B374FA" w:rsidRPr="00B4363C" w:rsidRDefault="00B374FA" w:rsidP="00B374FA">
            <w:pPr>
              <w:pStyle w:val="tabletextleft"/>
            </w:pPr>
            <w:r w:rsidRPr="00B4363C">
              <w:rPr>
                <w:rFonts w:cs="Arial"/>
              </w:rPr>
              <w:t>COSVR732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D138" w14:textId="77777777" w:rsidR="00B374FA" w:rsidRPr="00B4363C" w:rsidRDefault="00B374FA" w:rsidP="00B374FA">
            <w:pPr>
              <w:pStyle w:val="tabletextleft"/>
            </w:pPr>
            <w:r w:rsidRPr="00B4363C">
              <w:rPr>
                <w:rFonts w:cs="Arial"/>
              </w:rPr>
              <w:t>Identify, Allocate and Plan the Deployment and Use of Plant, Equipment or Machinery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3E1" w14:textId="77777777" w:rsidR="00B374FA" w:rsidRPr="00B4363C" w:rsidRDefault="00B374FA" w:rsidP="00B374FA">
            <w:pPr>
              <w:pStyle w:val="tabletextcentred"/>
            </w:pPr>
            <w:r w:rsidRPr="00B4363C"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83F8" w14:textId="77777777" w:rsidR="00B374FA" w:rsidRPr="00B4363C" w:rsidRDefault="00B374FA" w:rsidP="00B374FA">
            <w:pPr>
              <w:pStyle w:val="tabletextcentred"/>
            </w:pPr>
            <w:r w:rsidRPr="00B4363C">
              <w:t>9</w:t>
            </w:r>
          </w:p>
        </w:tc>
      </w:tr>
      <w:tr w:rsidR="00B374FA" w:rsidRPr="009750FC" w14:paraId="68AF2A03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17823C55" w14:textId="77777777" w:rsidR="00B374FA" w:rsidRPr="003F18F1" w:rsidRDefault="00DC3DE4" w:rsidP="00B374FA">
            <w:pPr>
              <w:pStyle w:val="tabletextleft"/>
            </w:pPr>
            <w:r w:rsidRPr="003F18F1">
              <w:t>J610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3F33" w14:textId="77777777" w:rsidR="00B374FA" w:rsidRPr="003F18F1" w:rsidRDefault="00B374FA" w:rsidP="00B374FA">
            <w:pPr>
              <w:pStyle w:val="tabletextleft"/>
              <w:rPr>
                <w:rFonts w:cs="Arial"/>
              </w:rPr>
            </w:pPr>
            <w:r w:rsidRPr="003F18F1">
              <w:rPr>
                <w:rFonts w:cs="Arial"/>
              </w:rPr>
              <w:t>COSVR742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7BD2" w14:textId="77777777" w:rsidR="00B374FA" w:rsidRPr="003F18F1" w:rsidRDefault="00B374FA" w:rsidP="00B374FA">
            <w:pPr>
              <w:pStyle w:val="tabletextleft"/>
              <w:rPr>
                <w:rFonts w:cs="Arial"/>
              </w:rPr>
            </w:pPr>
            <w:r w:rsidRPr="003F18F1">
              <w:rPr>
                <w:rFonts w:cs="Arial"/>
              </w:rPr>
              <w:t>Manage Project Handover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D72C" w14:textId="77777777" w:rsidR="00B374FA" w:rsidRPr="003F18F1" w:rsidRDefault="00B374FA" w:rsidP="00B374FA">
            <w:pPr>
              <w:pStyle w:val="tabletextcentred"/>
            </w:pPr>
            <w:r w:rsidRPr="003F18F1"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6915" w14:textId="77777777" w:rsidR="00B374FA" w:rsidRPr="003F18F1" w:rsidRDefault="00B374FA" w:rsidP="00B374FA">
            <w:pPr>
              <w:pStyle w:val="tabletextcentred"/>
            </w:pPr>
            <w:r w:rsidRPr="003F18F1">
              <w:t>12</w:t>
            </w:r>
          </w:p>
        </w:tc>
      </w:tr>
      <w:tr w:rsidR="00B374FA" w:rsidRPr="00EB4806" w14:paraId="58E6A365" w14:textId="77777777" w:rsidTr="00FD4B3B">
        <w:trPr>
          <w:trHeight w:val="454"/>
        </w:trPr>
        <w:tc>
          <w:tcPr>
            <w:tcW w:w="1242" w:type="dxa"/>
            <w:vAlign w:val="center"/>
          </w:tcPr>
          <w:p w14:paraId="22EB97B3" w14:textId="77777777" w:rsidR="00B374FA" w:rsidRPr="003F18F1" w:rsidRDefault="00DC3DE4" w:rsidP="00B374FA">
            <w:pPr>
              <w:pStyle w:val="tabletextleft"/>
            </w:pPr>
            <w:r w:rsidRPr="003F18F1">
              <w:t>J611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6300" w14:textId="77777777" w:rsidR="00B374FA" w:rsidRPr="003F18F1" w:rsidRDefault="00B374FA" w:rsidP="00B374FA">
            <w:pPr>
              <w:pStyle w:val="tabletextleft"/>
              <w:rPr>
                <w:rFonts w:cs="Arial"/>
              </w:rPr>
            </w:pPr>
            <w:r w:rsidRPr="003F18F1">
              <w:rPr>
                <w:rFonts w:cs="Arial"/>
              </w:rPr>
              <w:t>COSVR743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E0F3" w14:textId="77777777" w:rsidR="00B374FA" w:rsidRPr="003F18F1" w:rsidRDefault="00B374FA" w:rsidP="00B374FA">
            <w:pPr>
              <w:pStyle w:val="tabletextleft"/>
              <w:rPr>
                <w:rFonts w:cs="Arial"/>
              </w:rPr>
            </w:pPr>
            <w:r w:rsidRPr="003F18F1">
              <w:rPr>
                <w:rFonts w:cs="Arial"/>
              </w:rPr>
              <w:t>Plan Tunnelling Activities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DFA" w14:textId="77777777" w:rsidR="00B374FA" w:rsidRPr="003F18F1" w:rsidRDefault="00B374FA" w:rsidP="00B374FA">
            <w:pPr>
              <w:pStyle w:val="tabletextcentred"/>
            </w:pPr>
            <w:r w:rsidRPr="003F18F1"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2F2E" w14:textId="77777777" w:rsidR="00B374FA" w:rsidRPr="003F18F1" w:rsidRDefault="00B374FA" w:rsidP="00B374FA">
            <w:pPr>
              <w:pStyle w:val="tabletextcentred"/>
            </w:pPr>
            <w:r w:rsidRPr="003F18F1">
              <w:t>15</w:t>
            </w:r>
          </w:p>
        </w:tc>
      </w:tr>
      <w:bookmarkEnd w:id="0"/>
    </w:tbl>
    <w:p w14:paraId="23172F90" w14:textId="77777777" w:rsidR="008459BD" w:rsidRDefault="008459BD"/>
    <w:p w14:paraId="4B8860EF" w14:textId="77777777" w:rsidR="006F5D57" w:rsidRDefault="006F5D57"/>
    <w:p w14:paraId="49FB7E73" w14:textId="77777777" w:rsidR="006F5D57" w:rsidRDefault="006F5D57"/>
    <w:p w14:paraId="502EE282" w14:textId="77777777" w:rsidR="00EC7990" w:rsidRDefault="00EC7990"/>
    <w:sectPr w:rsidR="00EC7990" w:rsidSect="00780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E8E2" w14:textId="77777777" w:rsidR="004E1E30" w:rsidRDefault="004E1E30">
      <w:r>
        <w:separator/>
      </w:r>
    </w:p>
  </w:endnote>
  <w:endnote w:type="continuationSeparator" w:id="0">
    <w:p w14:paraId="2220C832" w14:textId="77777777" w:rsidR="004E1E30" w:rsidRDefault="004E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3514" w14:textId="77777777" w:rsidR="007A4236" w:rsidRPr="007A4236" w:rsidRDefault="00D37789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GT41 25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D37789">
      <w:rPr>
        <w:sz w:val="18"/>
        <w:szCs w:val="18"/>
      </w:rPr>
      <w:t>SVQ in Construction Site Management (Construction): Retrofit at SCQF Level 10</w:t>
    </w:r>
    <w:r w:rsidRPr="00D37789">
      <w:rPr>
        <w:sz w:val="18"/>
        <w:szCs w:val="18"/>
      </w:rPr>
      <w:tab/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AFDE" w14:textId="77777777" w:rsidR="004E1E30" w:rsidRDefault="004E1E30">
      <w:r>
        <w:separator/>
      </w:r>
    </w:p>
  </w:footnote>
  <w:footnote w:type="continuationSeparator" w:id="0">
    <w:p w14:paraId="657F92A3" w14:textId="77777777" w:rsidR="004E1E30" w:rsidRDefault="004E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2322"/>
    <w:multiLevelType w:val="hybridMultilevel"/>
    <w:tmpl w:val="161A278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F804EB"/>
    <w:multiLevelType w:val="hybridMultilevel"/>
    <w:tmpl w:val="CC764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02362"/>
    <w:multiLevelType w:val="hybridMultilevel"/>
    <w:tmpl w:val="188ADBB0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7846034">
    <w:abstractNumId w:val="6"/>
  </w:num>
  <w:num w:numId="2" w16cid:durableId="1622422248">
    <w:abstractNumId w:val="12"/>
  </w:num>
  <w:num w:numId="3" w16cid:durableId="1171338609">
    <w:abstractNumId w:val="6"/>
  </w:num>
  <w:num w:numId="4" w16cid:durableId="924068485">
    <w:abstractNumId w:val="3"/>
  </w:num>
  <w:num w:numId="5" w16cid:durableId="1147820470">
    <w:abstractNumId w:val="2"/>
  </w:num>
  <w:num w:numId="6" w16cid:durableId="680159367">
    <w:abstractNumId w:val="7"/>
  </w:num>
  <w:num w:numId="7" w16cid:durableId="948464055">
    <w:abstractNumId w:val="9"/>
  </w:num>
  <w:num w:numId="8" w16cid:durableId="726881995">
    <w:abstractNumId w:val="5"/>
  </w:num>
  <w:num w:numId="9" w16cid:durableId="562104464">
    <w:abstractNumId w:val="0"/>
  </w:num>
  <w:num w:numId="10" w16cid:durableId="305672886">
    <w:abstractNumId w:val="1"/>
  </w:num>
  <w:num w:numId="11" w16cid:durableId="940995604">
    <w:abstractNumId w:val="11"/>
  </w:num>
  <w:num w:numId="12" w16cid:durableId="563955061">
    <w:abstractNumId w:val="10"/>
  </w:num>
  <w:num w:numId="13" w16cid:durableId="114951000">
    <w:abstractNumId w:val="13"/>
  </w:num>
  <w:num w:numId="14" w16cid:durableId="1248033150">
    <w:abstractNumId w:val="4"/>
  </w:num>
  <w:num w:numId="15" w16cid:durableId="1793669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55528"/>
    <w:rsid w:val="00066099"/>
    <w:rsid w:val="000824CE"/>
    <w:rsid w:val="000B5B06"/>
    <w:rsid w:val="000C5588"/>
    <w:rsid w:val="000D61F0"/>
    <w:rsid w:val="000F0E43"/>
    <w:rsid w:val="000F3FA6"/>
    <w:rsid w:val="00105F91"/>
    <w:rsid w:val="0010659F"/>
    <w:rsid w:val="00114B0A"/>
    <w:rsid w:val="00147EE5"/>
    <w:rsid w:val="001501A4"/>
    <w:rsid w:val="00154766"/>
    <w:rsid w:val="001E38D6"/>
    <w:rsid w:val="00203846"/>
    <w:rsid w:val="00210189"/>
    <w:rsid w:val="00214BAD"/>
    <w:rsid w:val="00233570"/>
    <w:rsid w:val="00234733"/>
    <w:rsid w:val="00257355"/>
    <w:rsid w:val="00263C9F"/>
    <w:rsid w:val="00267910"/>
    <w:rsid w:val="00284182"/>
    <w:rsid w:val="002850BC"/>
    <w:rsid w:val="002D05EF"/>
    <w:rsid w:val="002D4537"/>
    <w:rsid w:val="002D7D8A"/>
    <w:rsid w:val="00312E61"/>
    <w:rsid w:val="00317293"/>
    <w:rsid w:val="00327907"/>
    <w:rsid w:val="0038083D"/>
    <w:rsid w:val="003B0F00"/>
    <w:rsid w:val="003C5F71"/>
    <w:rsid w:val="003C65A6"/>
    <w:rsid w:val="003D682F"/>
    <w:rsid w:val="003F18F1"/>
    <w:rsid w:val="004157E8"/>
    <w:rsid w:val="00423084"/>
    <w:rsid w:val="00430B5D"/>
    <w:rsid w:val="00432F0F"/>
    <w:rsid w:val="00433A15"/>
    <w:rsid w:val="00443316"/>
    <w:rsid w:val="00473DC5"/>
    <w:rsid w:val="00483096"/>
    <w:rsid w:val="004858E8"/>
    <w:rsid w:val="004A0AF4"/>
    <w:rsid w:val="004C0CF3"/>
    <w:rsid w:val="004E1E30"/>
    <w:rsid w:val="004F1C1F"/>
    <w:rsid w:val="00504BA8"/>
    <w:rsid w:val="00521C03"/>
    <w:rsid w:val="00522A82"/>
    <w:rsid w:val="00523876"/>
    <w:rsid w:val="0053392B"/>
    <w:rsid w:val="00541816"/>
    <w:rsid w:val="00541A2D"/>
    <w:rsid w:val="005456E8"/>
    <w:rsid w:val="00545C7B"/>
    <w:rsid w:val="0056063D"/>
    <w:rsid w:val="005660CA"/>
    <w:rsid w:val="00585866"/>
    <w:rsid w:val="0059249C"/>
    <w:rsid w:val="0059350D"/>
    <w:rsid w:val="005D2E75"/>
    <w:rsid w:val="005E6FC5"/>
    <w:rsid w:val="00605A38"/>
    <w:rsid w:val="00616FBE"/>
    <w:rsid w:val="00627760"/>
    <w:rsid w:val="0063183F"/>
    <w:rsid w:val="00640D20"/>
    <w:rsid w:val="00665E26"/>
    <w:rsid w:val="006A20A6"/>
    <w:rsid w:val="006A5C3B"/>
    <w:rsid w:val="006B0B19"/>
    <w:rsid w:val="006B1378"/>
    <w:rsid w:val="006D3DB4"/>
    <w:rsid w:val="006D7C9F"/>
    <w:rsid w:val="006E73D0"/>
    <w:rsid w:val="006F255A"/>
    <w:rsid w:val="006F5D57"/>
    <w:rsid w:val="006F69E0"/>
    <w:rsid w:val="0076129C"/>
    <w:rsid w:val="00764879"/>
    <w:rsid w:val="007804F7"/>
    <w:rsid w:val="007A4236"/>
    <w:rsid w:val="007B253F"/>
    <w:rsid w:val="007D6D6A"/>
    <w:rsid w:val="007E22E4"/>
    <w:rsid w:val="007E6E49"/>
    <w:rsid w:val="008022C3"/>
    <w:rsid w:val="00814A65"/>
    <w:rsid w:val="00817BB5"/>
    <w:rsid w:val="00827213"/>
    <w:rsid w:val="008332FC"/>
    <w:rsid w:val="008425E4"/>
    <w:rsid w:val="008459BD"/>
    <w:rsid w:val="00890F6A"/>
    <w:rsid w:val="008A0897"/>
    <w:rsid w:val="008B551D"/>
    <w:rsid w:val="008C2328"/>
    <w:rsid w:val="008C2727"/>
    <w:rsid w:val="00943FF9"/>
    <w:rsid w:val="0095567E"/>
    <w:rsid w:val="00955B7E"/>
    <w:rsid w:val="009750FC"/>
    <w:rsid w:val="00984880"/>
    <w:rsid w:val="00987680"/>
    <w:rsid w:val="00987C6B"/>
    <w:rsid w:val="00990D5D"/>
    <w:rsid w:val="009B5232"/>
    <w:rsid w:val="009B54F9"/>
    <w:rsid w:val="009D2B4E"/>
    <w:rsid w:val="009E6B2B"/>
    <w:rsid w:val="009E7DEB"/>
    <w:rsid w:val="009F6DE1"/>
    <w:rsid w:val="00A03C67"/>
    <w:rsid w:val="00A04ECD"/>
    <w:rsid w:val="00A13996"/>
    <w:rsid w:val="00A337AB"/>
    <w:rsid w:val="00A84116"/>
    <w:rsid w:val="00A91ED4"/>
    <w:rsid w:val="00AA4834"/>
    <w:rsid w:val="00AC34F2"/>
    <w:rsid w:val="00AC3C3E"/>
    <w:rsid w:val="00AC7303"/>
    <w:rsid w:val="00B12D19"/>
    <w:rsid w:val="00B240BC"/>
    <w:rsid w:val="00B374FA"/>
    <w:rsid w:val="00B4363C"/>
    <w:rsid w:val="00B67966"/>
    <w:rsid w:val="00B72A53"/>
    <w:rsid w:val="00BA0D24"/>
    <w:rsid w:val="00BD049A"/>
    <w:rsid w:val="00BE5DEF"/>
    <w:rsid w:val="00BF0E04"/>
    <w:rsid w:val="00C02FA8"/>
    <w:rsid w:val="00C06B96"/>
    <w:rsid w:val="00C10F4B"/>
    <w:rsid w:val="00C11578"/>
    <w:rsid w:val="00C13B42"/>
    <w:rsid w:val="00C31771"/>
    <w:rsid w:val="00C4167E"/>
    <w:rsid w:val="00C50455"/>
    <w:rsid w:val="00C53BC6"/>
    <w:rsid w:val="00C65FD1"/>
    <w:rsid w:val="00C665BC"/>
    <w:rsid w:val="00CB026E"/>
    <w:rsid w:val="00CC15F8"/>
    <w:rsid w:val="00CC607A"/>
    <w:rsid w:val="00CC6222"/>
    <w:rsid w:val="00CC78BE"/>
    <w:rsid w:val="00CD4104"/>
    <w:rsid w:val="00CF6A24"/>
    <w:rsid w:val="00D37789"/>
    <w:rsid w:val="00D44876"/>
    <w:rsid w:val="00DC3DE4"/>
    <w:rsid w:val="00DC44CE"/>
    <w:rsid w:val="00DE3849"/>
    <w:rsid w:val="00DE45D1"/>
    <w:rsid w:val="00DF4EBB"/>
    <w:rsid w:val="00E10063"/>
    <w:rsid w:val="00E22901"/>
    <w:rsid w:val="00E24B0B"/>
    <w:rsid w:val="00E27E6C"/>
    <w:rsid w:val="00E3567A"/>
    <w:rsid w:val="00E43D22"/>
    <w:rsid w:val="00E554A1"/>
    <w:rsid w:val="00E74591"/>
    <w:rsid w:val="00E75E3C"/>
    <w:rsid w:val="00E76060"/>
    <w:rsid w:val="00E873DF"/>
    <w:rsid w:val="00EA5353"/>
    <w:rsid w:val="00EB656D"/>
    <w:rsid w:val="00EC7990"/>
    <w:rsid w:val="00F0486D"/>
    <w:rsid w:val="00F065AA"/>
    <w:rsid w:val="00F22D12"/>
    <w:rsid w:val="00F44A27"/>
    <w:rsid w:val="00F546DE"/>
    <w:rsid w:val="00F602BE"/>
    <w:rsid w:val="00F748A4"/>
    <w:rsid w:val="00F94B14"/>
    <w:rsid w:val="00FB574E"/>
    <w:rsid w:val="00FD2AD9"/>
    <w:rsid w:val="00FD4B3B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A85617"/>
  <w15:chartTrackingRefBased/>
  <w15:docId w15:val="{5E09C2E4-3E56-4355-AAD6-34288658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E42D6-53A3-4DA4-A4FB-9092AB05459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4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Ruksana Mohammed</cp:lastModifiedBy>
  <cp:revision>3</cp:revision>
  <dcterms:created xsi:type="dcterms:W3CDTF">2022-06-14T13:25:00Z</dcterms:created>
  <dcterms:modified xsi:type="dcterms:W3CDTF">2022-06-14T14:21:00Z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