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AA6BB6">
        <w:rPr>
          <w:lang w:val="en-US"/>
        </w:rPr>
        <w:t>LHSL26</w:t>
      </w:r>
      <w:r w:rsidRPr="00BD446B">
        <w:t xml:space="preserve"> (</w:t>
      </w:r>
      <w:r w:rsidR="00896531">
        <w:t>HK6T 04</w:t>
      </w:r>
      <w:r w:rsidRPr="00BD446B">
        <w:t>)</w:t>
      </w:r>
      <w:r w:rsidR="00E12B5F" w:rsidRPr="00E12B5F">
        <w:tab/>
      </w:r>
      <w:r w:rsidR="00AA6BB6">
        <w:t>Supervise Practices for Handling Payments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AA6BB6" w:rsidRPr="00E12B5F" w:rsidRDefault="00BF1609" w:rsidP="00AA6BB6">
      <w:pPr>
        <w:pStyle w:val="Unittitle"/>
      </w:pPr>
      <w:r>
        <w:rPr>
          <w:sz w:val="22"/>
        </w:rPr>
        <w:br w:type="page"/>
      </w:r>
      <w:r w:rsidR="00AA6BB6">
        <w:lastRenderedPageBreak/>
        <w:t xml:space="preserve">Unit </w:t>
      </w:r>
      <w:r w:rsidR="00AA6BB6">
        <w:rPr>
          <w:lang w:val="en-US"/>
        </w:rPr>
        <w:t>PPLHSL26</w:t>
      </w:r>
      <w:r w:rsidR="00AA6BB6" w:rsidRPr="00BD446B">
        <w:t xml:space="preserve"> (</w:t>
      </w:r>
      <w:r w:rsidR="00896531">
        <w:t>HK6T 04</w:t>
      </w:r>
      <w:r w:rsidR="00AA6BB6" w:rsidRPr="00BD446B">
        <w:t>)</w:t>
      </w:r>
      <w:r w:rsidR="00AA6BB6" w:rsidRPr="00E12B5F">
        <w:tab/>
      </w:r>
      <w:r w:rsidR="00AA6BB6">
        <w:t>Supervise Practices for Handling Payments</w:t>
      </w:r>
    </w:p>
    <w:p w:rsidR="007C6C2F" w:rsidRDefault="007C6C2F" w:rsidP="00AA6B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AA6BB6" w:rsidP="007A4A0B">
            <w:r w:rsidRPr="00AA6BB6">
              <w:t xml:space="preserve">This </w:t>
            </w:r>
            <w:r>
              <w:t xml:space="preserve">unit </w:t>
            </w:r>
            <w:r w:rsidRPr="00AA6BB6">
              <w:t xml:space="preserve">is about monitoring and controlling the handling of payments, collecting takings and processing payment information. This </w:t>
            </w:r>
            <w:r>
              <w:t xml:space="preserve">unit </w:t>
            </w:r>
            <w:r w:rsidRPr="00AA6BB6">
              <w:t>is for hospitality team leaders, first line managers or supervisors.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AA6BB6" w:rsidRPr="00E12B5F" w:rsidRDefault="00A067C0" w:rsidP="00AA6BB6">
      <w:pPr>
        <w:pStyle w:val="Unittitle"/>
      </w:pPr>
      <w:r>
        <w:br w:type="page"/>
      </w:r>
      <w:r w:rsidR="00AA6BB6">
        <w:lastRenderedPageBreak/>
        <w:t xml:space="preserve">Unit </w:t>
      </w:r>
      <w:r w:rsidR="00AA6BB6">
        <w:rPr>
          <w:lang w:val="en-US"/>
        </w:rPr>
        <w:t>PPLHSL26</w:t>
      </w:r>
      <w:r w:rsidR="00AA6BB6" w:rsidRPr="00BD446B">
        <w:t xml:space="preserve"> (</w:t>
      </w:r>
      <w:r w:rsidR="00896531">
        <w:t>HK6T 04</w:t>
      </w:r>
      <w:r w:rsidR="00AA6BB6" w:rsidRPr="00BD446B">
        <w:t>)</w:t>
      </w:r>
      <w:r w:rsidR="00AA6BB6" w:rsidRPr="00E12B5F">
        <w:tab/>
      </w:r>
      <w:r w:rsidR="00AA6BB6">
        <w:t>Supervise Practices for Handling Payments</w:t>
      </w:r>
    </w:p>
    <w:p w:rsidR="00FD2D45" w:rsidRDefault="00FD2D45" w:rsidP="00AA6B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970D6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970D62" w:rsidTr="00FC50B2">
        <w:tc>
          <w:tcPr>
            <w:tcW w:w="14218" w:type="dxa"/>
          </w:tcPr>
          <w:p w:rsidR="00970D62" w:rsidRPr="007A4A0B" w:rsidRDefault="00970D62" w:rsidP="001944AB">
            <w:r>
              <w:rPr>
                <w:lang w:val="en-GB"/>
              </w:rPr>
              <w:t>There must be evidence for</w:t>
            </w:r>
            <w:r>
              <w:rPr>
                <w:b/>
                <w:lang w:val="en-GB"/>
              </w:rPr>
              <w:t xml:space="preserve"> all</w:t>
            </w:r>
            <w:r>
              <w:rPr>
                <w:lang w:val="en-GB"/>
              </w:rPr>
              <w:t xml:space="preserve"> Performance Criteria (PC).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AA6BB6" w:rsidRPr="00AA6BB6" w:rsidRDefault="00AA6BB6" w:rsidP="00AA6BB6">
            <w:pPr>
              <w:pStyle w:val="PClist"/>
            </w:pPr>
            <w:r>
              <w:t>1</w:t>
            </w:r>
            <w:r>
              <w:tab/>
            </w:r>
            <w:r w:rsidRPr="00AA6BB6">
              <w:t>Ensure staff have sufficient resources to carry out the service</w:t>
            </w:r>
            <w:r>
              <w:t>.</w:t>
            </w:r>
          </w:p>
          <w:p w:rsidR="00AA6BB6" w:rsidRPr="00AA6BB6" w:rsidRDefault="00AA6BB6" w:rsidP="00AA6BB6">
            <w:pPr>
              <w:pStyle w:val="PClist"/>
            </w:pPr>
            <w:r>
              <w:t>2</w:t>
            </w:r>
            <w:r>
              <w:tab/>
            </w:r>
            <w:r w:rsidRPr="00AA6BB6">
              <w:t>Ensure staff have the information and skills in order to carry out their work effectively</w:t>
            </w:r>
            <w:r>
              <w:t>.</w:t>
            </w:r>
          </w:p>
          <w:p w:rsidR="00AA6BB6" w:rsidRPr="00AA6BB6" w:rsidRDefault="00AA6BB6" w:rsidP="00AA6BB6">
            <w:pPr>
              <w:pStyle w:val="PClist"/>
            </w:pPr>
            <w:r>
              <w:t>3</w:t>
            </w:r>
            <w:r>
              <w:tab/>
            </w:r>
            <w:r w:rsidRPr="00AA6BB6">
              <w:t>Ensure that staff communicate with customers in a way that is likely to promote good will and understanding</w:t>
            </w:r>
            <w:r>
              <w:t>.</w:t>
            </w:r>
          </w:p>
          <w:p w:rsidR="00AA6BB6" w:rsidRPr="00AA6BB6" w:rsidRDefault="00AA6BB6" w:rsidP="00AA6BB6">
            <w:pPr>
              <w:pStyle w:val="PClist"/>
            </w:pPr>
            <w:r>
              <w:t>4</w:t>
            </w:r>
            <w:r>
              <w:tab/>
            </w:r>
            <w:r w:rsidRPr="00AA6BB6">
              <w:t xml:space="preserve">Ensure staff handle payments according to your organisations procedures and payments and refunds are correctly </w:t>
            </w:r>
            <w:r>
              <w:t>authorised.</w:t>
            </w:r>
          </w:p>
          <w:p w:rsidR="00AA6BB6" w:rsidRPr="00AA6BB6" w:rsidRDefault="00AA6BB6" w:rsidP="00AA6BB6">
            <w:pPr>
              <w:pStyle w:val="PClist"/>
            </w:pPr>
            <w:r>
              <w:t>5</w:t>
            </w:r>
            <w:r>
              <w:tab/>
            </w:r>
            <w:r w:rsidRPr="00AA6BB6">
              <w:t>Ensure that staff follow payment point safety and security procedures</w:t>
            </w:r>
            <w:r>
              <w:t>.</w:t>
            </w:r>
          </w:p>
          <w:p w:rsidR="00AA6BB6" w:rsidRPr="00AA6BB6" w:rsidRDefault="00AA6BB6" w:rsidP="00AA6BB6">
            <w:pPr>
              <w:pStyle w:val="PClist"/>
            </w:pPr>
            <w:r>
              <w:t>6</w:t>
            </w:r>
            <w:r>
              <w:tab/>
            </w:r>
            <w:r w:rsidRPr="00AA6BB6">
              <w:t>Deal effectively with any problems which occur at payment points</w:t>
            </w:r>
            <w:r>
              <w:t>.</w:t>
            </w:r>
          </w:p>
          <w:p w:rsidR="00AA6BB6" w:rsidRPr="00AA6BB6" w:rsidRDefault="00AA6BB6" w:rsidP="00AA6BB6">
            <w:pPr>
              <w:pStyle w:val="PClist"/>
            </w:pPr>
            <w:r>
              <w:t>7</w:t>
            </w:r>
            <w:r>
              <w:tab/>
            </w:r>
            <w:r w:rsidRPr="00AA6BB6">
              <w:t>Collect payment point contents following your organisation's procedures</w:t>
            </w:r>
            <w:r>
              <w:t>.</w:t>
            </w:r>
          </w:p>
          <w:p w:rsidR="00AA6BB6" w:rsidRPr="00AA6BB6" w:rsidRDefault="00AA6BB6" w:rsidP="00AA6BB6">
            <w:pPr>
              <w:pStyle w:val="PClist"/>
            </w:pPr>
            <w:r>
              <w:t>8</w:t>
            </w:r>
            <w:r>
              <w:tab/>
            </w:r>
            <w:r w:rsidRPr="00AA6BB6">
              <w:t>Reconcile actual takings against recorded takings and follow your organisation's procedures and legal requirements to deal with any discrepancies</w:t>
            </w:r>
            <w:r>
              <w:t>.</w:t>
            </w:r>
          </w:p>
          <w:p w:rsidR="007A4A0B" w:rsidRPr="007A4A0B" w:rsidRDefault="00AA6BB6" w:rsidP="00AA6BB6">
            <w:pPr>
              <w:pStyle w:val="PClist"/>
            </w:pPr>
            <w:r>
              <w:t>9</w:t>
            </w:r>
            <w:r>
              <w:tab/>
            </w:r>
            <w:r w:rsidRPr="00AA6BB6">
              <w:t>Complete all documents relating to takings and process in line with your organisation's procedures</w:t>
            </w:r>
            <w:r>
              <w:t>.</w:t>
            </w:r>
          </w:p>
          <w:p w:rsidR="007A4A0B" w:rsidRDefault="007A4A0B" w:rsidP="001944AB"/>
        </w:tc>
      </w:tr>
    </w:tbl>
    <w:p w:rsidR="00FD2D45" w:rsidRDefault="00FD2D45" w:rsidP="001944AB"/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AA6BB6" w:rsidRPr="00E12B5F" w:rsidRDefault="00AA6BB6" w:rsidP="00AA6BB6">
      <w:pPr>
        <w:pStyle w:val="Unittitle"/>
      </w:pPr>
      <w:r>
        <w:t xml:space="preserve">Unit </w:t>
      </w:r>
      <w:r>
        <w:rPr>
          <w:lang w:val="en-US"/>
        </w:rPr>
        <w:t>PPLHSL26</w:t>
      </w:r>
      <w:r w:rsidRPr="00BD446B">
        <w:t xml:space="preserve"> (</w:t>
      </w:r>
      <w:r w:rsidR="00896531">
        <w:t>HK6T 04</w:t>
      </w:r>
      <w:r w:rsidRPr="00BD446B">
        <w:t>)</w:t>
      </w:r>
      <w:r w:rsidRPr="00E12B5F">
        <w:tab/>
      </w:r>
      <w:r>
        <w:t>Supervise Practices for Handling Payments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858"/>
        <w:gridCol w:w="858"/>
        <w:gridCol w:w="859"/>
        <w:gridCol w:w="858"/>
        <w:gridCol w:w="858"/>
        <w:gridCol w:w="859"/>
        <w:gridCol w:w="858"/>
        <w:gridCol w:w="858"/>
        <w:gridCol w:w="859"/>
      </w:tblGrid>
      <w:tr w:rsidR="00AA6BB6" w:rsidRPr="0064705B" w:rsidTr="00864EBE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AA6BB6" w:rsidRPr="00033849" w:rsidRDefault="00AA6BB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AA6BB6" w:rsidRPr="00033849" w:rsidRDefault="00AA6BB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AA6BB6" w:rsidRPr="00033849" w:rsidRDefault="00AA6BB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9"/>
            <w:shd w:val="clear" w:color="auto" w:fill="BFBFBF" w:themeFill="background1" w:themeFillShade="BF"/>
            <w:vAlign w:val="center"/>
          </w:tcPr>
          <w:p w:rsidR="00AA6BB6" w:rsidRPr="00033849" w:rsidRDefault="00AA6BB6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AA6BB6" w:rsidRPr="0064705B" w:rsidTr="00970D62">
        <w:trPr>
          <w:trHeight w:val="779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AA6BB6" w:rsidRPr="0064705B" w:rsidRDefault="00AA6BB6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AA6BB6" w:rsidRPr="0064705B" w:rsidRDefault="00AA6BB6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AA6BB6" w:rsidRPr="0064705B" w:rsidRDefault="00AA6BB6" w:rsidP="00033849">
            <w:pPr>
              <w:pStyle w:val="Table10"/>
            </w:pPr>
          </w:p>
        </w:tc>
        <w:tc>
          <w:tcPr>
            <w:tcW w:w="7725" w:type="dxa"/>
            <w:gridSpan w:val="9"/>
            <w:shd w:val="clear" w:color="auto" w:fill="BFBFBF" w:themeFill="background1" w:themeFillShade="BF"/>
            <w:vAlign w:val="center"/>
          </w:tcPr>
          <w:p w:rsidR="00AA6BB6" w:rsidRPr="00784536" w:rsidRDefault="00AA6BB6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AA6BB6" w:rsidRPr="0064705B" w:rsidTr="00AA6BB6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6BB6" w:rsidRPr="0064705B" w:rsidRDefault="00AA6BB6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6BB6" w:rsidRPr="0064705B" w:rsidRDefault="00AA6BB6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6BB6" w:rsidRPr="0064705B" w:rsidRDefault="00AA6BB6" w:rsidP="00033849">
            <w:pPr>
              <w:pStyle w:val="Table10"/>
            </w:pP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6BB6" w:rsidRPr="00F11177" w:rsidRDefault="00AA6BB6" w:rsidP="00AA6BB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6BB6" w:rsidRPr="00F11177" w:rsidRDefault="00AA6BB6" w:rsidP="00AA6BB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6BB6" w:rsidRPr="00F11177" w:rsidRDefault="00AA6BB6" w:rsidP="00AA6BB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6BB6" w:rsidRPr="00F11177" w:rsidRDefault="00AA6BB6" w:rsidP="00AA6BB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6BB6" w:rsidRPr="00F11177" w:rsidRDefault="00AA6BB6" w:rsidP="00AA6BB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6BB6" w:rsidRPr="00F11177" w:rsidRDefault="00AA6BB6" w:rsidP="00AA6BB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6BB6" w:rsidRPr="00F11177" w:rsidRDefault="00AA6BB6" w:rsidP="00AA6BB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6BB6" w:rsidRPr="00F11177" w:rsidRDefault="00AA6BB6" w:rsidP="00AA6BB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A6BB6" w:rsidRPr="00F11177" w:rsidRDefault="00AA6BB6" w:rsidP="00AA6BB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</w:tr>
      <w:tr w:rsidR="00AA6BB6" w:rsidRPr="00AA6BB6" w:rsidTr="00AA6BB6">
        <w:tc>
          <w:tcPr>
            <w:tcW w:w="1413" w:type="dxa"/>
            <w:shd w:val="clear" w:color="auto" w:fill="auto"/>
          </w:tcPr>
          <w:p w:rsidR="00AA6BB6" w:rsidRDefault="00AA6BB6" w:rsidP="00AA6BB6">
            <w:pPr>
              <w:pStyle w:val="Table10"/>
            </w:pPr>
          </w:p>
          <w:p w:rsidR="00970D62" w:rsidRDefault="00970D62" w:rsidP="00AA6BB6">
            <w:pPr>
              <w:pStyle w:val="Table10"/>
            </w:pPr>
          </w:p>
          <w:p w:rsidR="00970D62" w:rsidRDefault="00970D62" w:rsidP="00AA6BB6">
            <w:pPr>
              <w:pStyle w:val="Table10"/>
            </w:pPr>
          </w:p>
          <w:p w:rsidR="00970D62" w:rsidRPr="00AA6BB6" w:rsidRDefault="00970D62" w:rsidP="00AA6BB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AA6BB6" w:rsidRPr="00AA6BB6" w:rsidRDefault="00AA6BB6" w:rsidP="00AA6BB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A6BB6" w:rsidRPr="00AA6BB6" w:rsidRDefault="00AA6BB6" w:rsidP="00AA6BB6">
            <w:pPr>
              <w:pStyle w:val="Table10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</w:tr>
      <w:tr w:rsidR="00AA6BB6" w:rsidRPr="00AA6BB6" w:rsidTr="00AA6BB6">
        <w:tc>
          <w:tcPr>
            <w:tcW w:w="1413" w:type="dxa"/>
            <w:shd w:val="clear" w:color="auto" w:fill="auto"/>
          </w:tcPr>
          <w:p w:rsidR="00AA6BB6" w:rsidRDefault="00AA6BB6" w:rsidP="00AA6BB6">
            <w:pPr>
              <w:pStyle w:val="Table10"/>
            </w:pPr>
          </w:p>
          <w:p w:rsidR="00970D62" w:rsidRDefault="00970D62" w:rsidP="00AA6BB6">
            <w:pPr>
              <w:pStyle w:val="Table10"/>
            </w:pPr>
          </w:p>
          <w:p w:rsidR="00970D62" w:rsidRDefault="00970D62" w:rsidP="00AA6BB6">
            <w:pPr>
              <w:pStyle w:val="Table10"/>
            </w:pPr>
          </w:p>
          <w:p w:rsidR="00970D62" w:rsidRPr="00AA6BB6" w:rsidRDefault="00970D62" w:rsidP="00AA6BB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AA6BB6" w:rsidRPr="00AA6BB6" w:rsidRDefault="00AA6BB6" w:rsidP="00AA6BB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A6BB6" w:rsidRPr="00AA6BB6" w:rsidRDefault="00AA6BB6" w:rsidP="00AA6BB6">
            <w:pPr>
              <w:pStyle w:val="Table10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</w:tr>
      <w:tr w:rsidR="00AA6BB6" w:rsidRPr="00AA6BB6" w:rsidTr="00AA6BB6">
        <w:tc>
          <w:tcPr>
            <w:tcW w:w="1413" w:type="dxa"/>
            <w:shd w:val="clear" w:color="auto" w:fill="auto"/>
          </w:tcPr>
          <w:p w:rsidR="00AA6BB6" w:rsidRDefault="00AA6BB6" w:rsidP="00AA6BB6">
            <w:pPr>
              <w:pStyle w:val="Table10"/>
            </w:pPr>
          </w:p>
          <w:p w:rsidR="00970D62" w:rsidRDefault="00970D62" w:rsidP="00AA6BB6">
            <w:pPr>
              <w:pStyle w:val="Table10"/>
            </w:pPr>
          </w:p>
          <w:p w:rsidR="00970D62" w:rsidRDefault="00970D62" w:rsidP="00AA6BB6">
            <w:pPr>
              <w:pStyle w:val="Table10"/>
            </w:pPr>
          </w:p>
          <w:p w:rsidR="00970D62" w:rsidRPr="00AA6BB6" w:rsidRDefault="00970D62" w:rsidP="00AA6BB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AA6BB6" w:rsidRPr="00AA6BB6" w:rsidRDefault="00AA6BB6" w:rsidP="00AA6BB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A6BB6" w:rsidRPr="00AA6BB6" w:rsidRDefault="00AA6BB6" w:rsidP="00AA6BB6">
            <w:pPr>
              <w:pStyle w:val="Table10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</w:tr>
      <w:tr w:rsidR="00AA6BB6" w:rsidRPr="00AA6BB6" w:rsidTr="00AA6BB6">
        <w:tc>
          <w:tcPr>
            <w:tcW w:w="1413" w:type="dxa"/>
            <w:shd w:val="clear" w:color="auto" w:fill="auto"/>
          </w:tcPr>
          <w:p w:rsidR="00AA6BB6" w:rsidRDefault="00AA6BB6" w:rsidP="00AA6BB6">
            <w:pPr>
              <w:pStyle w:val="Table10"/>
            </w:pPr>
          </w:p>
          <w:p w:rsidR="00970D62" w:rsidRDefault="00970D62" w:rsidP="00AA6BB6">
            <w:pPr>
              <w:pStyle w:val="Table10"/>
            </w:pPr>
          </w:p>
          <w:p w:rsidR="00970D62" w:rsidRDefault="00970D62" w:rsidP="00AA6BB6">
            <w:pPr>
              <w:pStyle w:val="Table10"/>
            </w:pPr>
          </w:p>
          <w:p w:rsidR="00970D62" w:rsidRPr="00AA6BB6" w:rsidRDefault="00970D62" w:rsidP="00AA6BB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AA6BB6" w:rsidRPr="00AA6BB6" w:rsidRDefault="00AA6BB6" w:rsidP="00AA6BB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A6BB6" w:rsidRPr="00AA6BB6" w:rsidRDefault="00AA6BB6" w:rsidP="00AA6BB6">
            <w:pPr>
              <w:pStyle w:val="Table10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</w:tr>
      <w:tr w:rsidR="00AA6BB6" w:rsidRPr="00AA6BB6" w:rsidTr="00AA6BB6">
        <w:tc>
          <w:tcPr>
            <w:tcW w:w="1413" w:type="dxa"/>
            <w:shd w:val="clear" w:color="auto" w:fill="auto"/>
          </w:tcPr>
          <w:p w:rsidR="00AA6BB6" w:rsidRDefault="00AA6BB6" w:rsidP="00AA6BB6">
            <w:pPr>
              <w:pStyle w:val="Table10"/>
            </w:pPr>
          </w:p>
          <w:p w:rsidR="00970D62" w:rsidRDefault="00970D62" w:rsidP="00AA6BB6">
            <w:pPr>
              <w:pStyle w:val="Table10"/>
            </w:pPr>
          </w:p>
          <w:p w:rsidR="00970D62" w:rsidRDefault="00970D62" w:rsidP="00AA6BB6">
            <w:pPr>
              <w:pStyle w:val="Table10"/>
            </w:pPr>
          </w:p>
          <w:p w:rsidR="00970D62" w:rsidRPr="00AA6BB6" w:rsidRDefault="00970D62" w:rsidP="00AA6BB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AA6BB6" w:rsidRPr="00AA6BB6" w:rsidRDefault="00AA6BB6" w:rsidP="00AA6BB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A6BB6" w:rsidRPr="00AA6BB6" w:rsidRDefault="00AA6BB6" w:rsidP="00AA6BB6">
            <w:pPr>
              <w:pStyle w:val="Table10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</w:tr>
      <w:tr w:rsidR="00AA6BB6" w:rsidRPr="00AA6BB6" w:rsidTr="00AA6BB6">
        <w:tc>
          <w:tcPr>
            <w:tcW w:w="1413" w:type="dxa"/>
            <w:shd w:val="clear" w:color="auto" w:fill="auto"/>
          </w:tcPr>
          <w:p w:rsidR="00AA6BB6" w:rsidRDefault="00AA6BB6" w:rsidP="00AA6BB6">
            <w:pPr>
              <w:pStyle w:val="Table10"/>
            </w:pPr>
          </w:p>
          <w:p w:rsidR="00970D62" w:rsidRDefault="00970D62" w:rsidP="00AA6BB6">
            <w:pPr>
              <w:pStyle w:val="Table10"/>
            </w:pPr>
          </w:p>
          <w:p w:rsidR="00970D62" w:rsidRDefault="00970D62" w:rsidP="00AA6BB6">
            <w:pPr>
              <w:pStyle w:val="Table10"/>
            </w:pPr>
          </w:p>
          <w:p w:rsidR="00970D62" w:rsidRPr="00AA6BB6" w:rsidRDefault="00970D62" w:rsidP="00AA6BB6">
            <w:pPr>
              <w:pStyle w:val="Table10"/>
            </w:pPr>
            <w:bookmarkStart w:id="0" w:name="_GoBack"/>
            <w:bookmarkEnd w:id="0"/>
          </w:p>
        </w:tc>
        <w:tc>
          <w:tcPr>
            <w:tcW w:w="3654" w:type="dxa"/>
            <w:shd w:val="clear" w:color="auto" w:fill="auto"/>
          </w:tcPr>
          <w:p w:rsidR="00AA6BB6" w:rsidRPr="00AA6BB6" w:rsidRDefault="00AA6BB6" w:rsidP="00AA6BB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AA6BB6" w:rsidRPr="00AA6BB6" w:rsidRDefault="00AA6BB6" w:rsidP="00AA6BB6">
            <w:pPr>
              <w:pStyle w:val="Table10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AA6BB6" w:rsidRPr="00AA6BB6" w:rsidRDefault="00AA6BB6" w:rsidP="00AA6BB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AA6BB6" w:rsidRPr="00E12B5F" w:rsidRDefault="00AA6BB6" w:rsidP="00AA6BB6">
      <w:pPr>
        <w:pStyle w:val="Unittitle"/>
      </w:pPr>
      <w:r>
        <w:t xml:space="preserve">Unit </w:t>
      </w:r>
      <w:r>
        <w:rPr>
          <w:lang w:val="en-US"/>
        </w:rPr>
        <w:t>PPLHSL26</w:t>
      </w:r>
      <w:r w:rsidRPr="00BD446B">
        <w:t xml:space="preserve"> (</w:t>
      </w:r>
      <w:r w:rsidR="00896531">
        <w:t>HK6T 04</w:t>
      </w:r>
      <w:r w:rsidRPr="00BD446B">
        <w:t>)</w:t>
      </w:r>
      <w:r w:rsidRPr="00E12B5F">
        <w:tab/>
      </w:r>
      <w:r>
        <w:t>Supervise Practices for Handling Payments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AA6BB6" w:rsidTr="00142130">
        <w:tc>
          <w:tcPr>
            <w:tcW w:w="570" w:type="dxa"/>
          </w:tcPr>
          <w:p w:rsidR="00AA6BB6" w:rsidRPr="00F11177" w:rsidRDefault="00AA6BB6" w:rsidP="00DF3CC5">
            <w:r>
              <w:t>1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The different roles and responsibilities of people in your area of work in relation to handling payments and collecting takings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Pr="00F11177" w:rsidRDefault="00AA6BB6" w:rsidP="00DF3CC5">
            <w:r>
              <w:t>2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Which organisational procedures relate to handling payments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Pr="00F11177" w:rsidRDefault="00AA6BB6" w:rsidP="00DF3CC5">
            <w:r>
              <w:t>3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What the limits of your authority are when controlling payments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Pr="00F11177" w:rsidRDefault="00AA6BB6" w:rsidP="00DF3CC5">
            <w:r>
              <w:t>4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How to plan the security of staff and takings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Pr="00F11177" w:rsidRDefault="00AA6BB6" w:rsidP="00DF3CC5">
            <w:r>
              <w:t>5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Who to gain security advice from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Pr="00F11177" w:rsidRDefault="00AA6BB6" w:rsidP="00DF3CC5">
            <w:r>
              <w:t>6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Electronic point of sale systems (EPOS)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Pr="00F11177" w:rsidRDefault="00AA6BB6" w:rsidP="00DF3CC5">
            <w:r>
              <w:t>7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The various payment methods used in the industry, for example: cheques, credit cards, charge cards, contactless 'smart' cards, chip and pin, vouchers and how to process them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Pr="00F11177" w:rsidRDefault="00AA6BB6" w:rsidP="00DF3CC5">
            <w:r>
              <w:t>8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The types of payment accepted by the organisation and how to process them according to your organisation's guidelines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Pr="00F11177" w:rsidRDefault="00AA6BB6" w:rsidP="00DF3CC5">
            <w:r>
              <w:t>9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What confirmation systems are available when authorising payments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Pr="00F11177" w:rsidRDefault="00AA6BB6" w:rsidP="00DF3CC5">
            <w:r>
              <w:t>10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How to estimate the resources you need for handling payments and who to gain approval from when you require additional ones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Pr="00F11177" w:rsidRDefault="00AA6BB6" w:rsidP="00DF3CC5">
            <w:r>
              <w:t>11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How to control the issue and use of resources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Pr="00F11177" w:rsidRDefault="00AA6BB6" w:rsidP="00DF3CC5">
            <w:r>
              <w:t>12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How to present information concerning the payment procedures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Pr="00F11177" w:rsidRDefault="00AA6BB6" w:rsidP="00DF3CC5">
            <w:r>
              <w:t>13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The types of problems that may occur when controlling payment practices and how to deal with these effectively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Pr="00F11177" w:rsidRDefault="00AA6BB6" w:rsidP="00DF3CC5">
            <w:r>
              <w:t>14</w:t>
            </w:r>
          </w:p>
        </w:tc>
        <w:tc>
          <w:tcPr>
            <w:tcW w:w="11842" w:type="dxa"/>
          </w:tcPr>
          <w:p w:rsidR="00AA6BB6" w:rsidRPr="006C727D" w:rsidRDefault="00AA6BB6" w:rsidP="00AA6BB6">
            <w:pPr>
              <w:tabs>
                <w:tab w:val="left" w:pos="3969"/>
              </w:tabs>
            </w:pPr>
            <w:r w:rsidRPr="006C727D">
              <w:t xml:space="preserve">How to deal with suspected dishonesty in the </w:t>
            </w:r>
            <w:r>
              <w:t>organisation.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Pr="00F11177" w:rsidRDefault="00AA6BB6" w:rsidP="00DF3CC5">
            <w:r>
              <w:t>15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How to monitor staff performance against organisational standards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Default="00AA6BB6" w:rsidP="00DF3CC5">
            <w:r>
              <w:t>16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What action to take when staff performance falls below standards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Default="00AA6BB6" w:rsidP="00DF3CC5">
            <w:r>
              <w:t>17</w:t>
            </w:r>
          </w:p>
        </w:tc>
        <w:tc>
          <w:tcPr>
            <w:tcW w:w="11842" w:type="dxa"/>
          </w:tcPr>
          <w:p w:rsidR="00AA6BB6" w:rsidRPr="006C727D" w:rsidRDefault="00AA6BB6" w:rsidP="00AA6BB6">
            <w:pPr>
              <w:tabs>
                <w:tab w:val="left" w:pos="3969"/>
              </w:tabs>
            </w:pPr>
            <w:r w:rsidRPr="006C727D">
              <w:t xml:space="preserve">How to operate the payment points and equipment used in your </w:t>
            </w:r>
            <w:r>
              <w:t>organisation.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Default="00AA6BB6" w:rsidP="00DF3CC5">
            <w:r>
              <w:t>18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How to deal with fraudulent payments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Default="00AA6BB6" w:rsidP="00DF3CC5">
            <w:r>
              <w:t>19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How to deal with emergency situations, robbery and threats to safety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</w:tbl>
    <w:p w:rsidR="00AA6BB6" w:rsidRDefault="00AA6BB6"/>
    <w:p w:rsidR="00AA6BB6" w:rsidRDefault="00AA6BB6">
      <w:r>
        <w:br w:type="page"/>
      </w:r>
    </w:p>
    <w:p w:rsidR="00AA6BB6" w:rsidRPr="00E12B5F" w:rsidRDefault="00AA6BB6" w:rsidP="00AA6BB6">
      <w:pPr>
        <w:pStyle w:val="Unittitle"/>
      </w:pPr>
      <w:r>
        <w:t xml:space="preserve">Unit </w:t>
      </w:r>
      <w:r>
        <w:rPr>
          <w:lang w:val="en-US"/>
        </w:rPr>
        <w:t>PPLHSL26</w:t>
      </w:r>
      <w:r w:rsidRPr="00BD446B">
        <w:t xml:space="preserve"> (</w:t>
      </w:r>
      <w:r w:rsidR="00896531">
        <w:t>HK6T 04</w:t>
      </w:r>
      <w:r w:rsidRPr="00BD446B">
        <w:t>)</w:t>
      </w:r>
      <w:r w:rsidRPr="00E12B5F">
        <w:tab/>
      </w:r>
      <w:r>
        <w:t>Supervise Practices for Handling Payments</w:t>
      </w:r>
    </w:p>
    <w:p w:rsidR="00AA6BB6" w:rsidRDefault="00AA6BB6" w:rsidP="00AA6BB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AA6BB6" w:rsidRPr="00F11177" w:rsidTr="0000497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AA6BB6" w:rsidRPr="00F11177" w:rsidRDefault="00AA6BB6" w:rsidP="00004976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AA6BB6" w:rsidRDefault="00AA6BB6" w:rsidP="00004976">
            <w:pPr>
              <w:jc w:val="center"/>
              <w:rPr>
                <w:b/>
              </w:rPr>
            </w:pPr>
            <w:r>
              <w:rPr>
                <w:b/>
              </w:rPr>
              <w:t>Evidence reference</w:t>
            </w:r>
          </w:p>
          <w:p w:rsidR="00AA6BB6" w:rsidRPr="00F11177" w:rsidRDefault="00AA6BB6" w:rsidP="00004976">
            <w:pPr>
              <w:jc w:val="center"/>
              <w:rPr>
                <w:b/>
              </w:rPr>
            </w:pPr>
            <w:r>
              <w:rPr>
                <w:b/>
              </w:rPr>
              <w:t>and date</w:t>
            </w:r>
          </w:p>
        </w:tc>
      </w:tr>
      <w:tr w:rsidR="00AA6BB6" w:rsidRPr="00F11177" w:rsidTr="0000497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AA6BB6" w:rsidRPr="00F11177" w:rsidRDefault="00AA6BB6" w:rsidP="00004976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AA6BB6" w:rsidRDefault="00AA6BB6" w:rsidP="00004976">
            <w:pPr>
              <w:jc w:val="center"/>
              <w:rPr>
                <w:b/>
              </w:rPr>
            </w:pPr>
          </w:p>
        </w:tc>
      </w:tr>
      <w:tr w:rsidR="00AA6BB6" w:rsidTr="0000497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AA6BB6" w:rsidRPr="00F11177" w:rsidRDefault="00AA6BB6" w:rsidP="00004976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>
              <w:t xml:space="preserve">alternative methods of assessment (eg </w:t>
            </w:r>
            <w:r w:rsidRPr="00F11177">
              <w:t>oral or written questioning</w:t>
            </w:r>
            <w:r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AA6BB6" w:rsidRDefault="00AA6BB6" w:rsidP="00004976"/>
        </w:tc>
      </w:tr>
      <w:tr w:rsidR="00AA6BB6" w:rsidTr="00142130">
        <w:tc>
          <w:tcPr>
            <w:tcW w:w="570" w:type="dxa"/>
          </w:tcPr>
          <w:p w:rsidR="00AA6BB6" w:rsidRDefault="00AA6BB6" w:rsidP="00DF3CC5">
            <w:r>
              <w:t>20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Which organisational procedures relate to the collection of takings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Default="00AA6BB6" w:rsidP="00DF3CC5">
            <w:r>
              <w:t>21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How to operate payment points to obtain till readings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Default="00AA6BB6" w:rsidP="00DF3CC5">
            <w:r>
              <w:t>22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How to record information legibly and who this information should be passed on to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Default="00AA6BB6" w:rsidP="00DF3CC5">
            <w:r>
              <w:t>23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How to implement your organisation's security procedures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Default="00AA6BB6" w:rsidP="00DF3CC5">
            <w:r>
              <w:t>24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Which organisational procedures relate to processing payment information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Default="00AA6BB6" w:rsidP="00DF3CC5">
            <w:r>
              <w:t>25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How to communicate with staff to gain information about discrepancies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Default="00AA6BB6" w:rsidP="00DF3CC5">
            <w:r>
              <w:t>26</w:t>
            </w:r>
          </w:p>
        </w:tc>
        <w:tc>
          <w:tcPr>
            <w:tcW w:w="11842" w:type="dxa"/>
          </w:tcPr>
          <w:p w:rsidR="00AA6BB6" w:rsidRPr="006C727D" w:rsidRDefault="00AA6BB6" w:rsidP="004A0A51">
            <w:pPr>
              <w:tabs>
                <w:tab w:val="left" w:pos="3969"/>
              </w:tabs>
            </w:pPr>
            <w:r w:rsidRPr="006C727D">
              <w:t>What documentation must be completed and how to do so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  <w:tr w:rsidR="00AA6BB6" w:rsidTr="00142130">
        <w:tc>
          <w:tcPr>
            <w:tcW w:w="570" w:type="dxa"/>
          </w:tcPr>
          <w:p w:rsidR="00AA6BB6" w:rsidRDefault="00AA6BB6" w:rsidP="00DF3CC5">
            <w:r>
              <w:t>27</w:t>
            </w:r>
          </w:p>
        </w:tc>
        <w:tc>
          <w:tcPr>
            <w:tcW w:w="11842" w:type="dxa"/>
          </w:tcPr>
          <w:p w:rsidR="00AA6BB6" w:rsidRDefault="00AA6BB6" w:rsidP="004A0A51">
            <w:r w:rsidRPr="006C727D">
              <w:t>What action is appropriate in response to discrepancies</w:t>
            </w:r>
            <w:r>
              <w:t>.</w:t>
            </w:r>
          </w:p>
        </w:tc>
        <w:tc>
          <w:tcPr>
            <w:tcW w:w="1806" w:type="dxa"/>
          </w:tcPr>
          <w:p w:rsidR="00AA6BB6" w:rsidRDefault="00AA6BB6" w:rsidP="00142130">
            <w:pPr>
              <w:jc w:val="center"/>
            </w:pPr>
          </w:p>
        </w:tc>
      </w:tr>
    </w:tbl>
    <w:p w:rsidR="00AA6BB6" w:rsidRDefault="00AA6BB6" w:rsidP="00AA6BB6">
      <w:pPr>
        <w:tabs>
          <w:tab w:val="left" w:pos="3969"/>
        </w:tabs>
        <w:rPr>
          <w:lang w:val="en-GB"/>
        </w:rPr>
      </w:pPr>
    </w:p>
    <w:p w:rsidR="00AA6BB6" w:rsidRPr="00E12B5F" w:rsidRDefault="00AB2D75" w:rsidP="00AA6BB6">
      <w:pPr>
        <w:pStyle w:val="Unittitle"/>
      </w:pPr>
      <w:r>
        <w:br w:type="page"/>
      </w:r>
      <w:r w:rsidR="00AA6BB6">
        <w:t xml:space="preserve">Unit </w:t>
      </w:r>
      <w:r w:rsidR="00AA6BB6">
        <w:rPr>
          <w:lang w:val="en-US"/>
        </w:rPr>
        <w:t>PPLHSL26</w:t>
      </w:r>
      <w:r w:rsidR="00AA6BB6" w:rsidRPr="00BD446B">
        <w:t xml:space="preserve"> (</w:t>
      </w:r>
      <w:r w:rsidR="00896531">
        <w:t>HK6T 04</w:t>
      </w:r>
      <w:r w:rsidR="00AA6BB6" w:rsidRPr="00BD446B">
        <w:t>)</w:t>
      </w:r>
      <w:r w:rsidR="00AA6BB6" w:rsidRPr="00E12B5F">
        <w:tab/>
      </w:r>
      <w:r w:rsidR="00AA6BB6">
        <w:t>Supervise Practices for Handling Payments</w:t>
      </w:r>
    </w:p>
    <w:p w:rsidR="007C6C2F" w:rsidRPr="00AB2D75" w:rsidRDefault="007C6C2F" w:rsidP="00AA6BB6"/>
    <w:p w:rsidR="006325C8" w:rsidRPr="00F3442C" w:rsidRDefault="00896531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AA6BB6">
      <w:t>LHSL26</w:t>
    </w:r>
    <w:r w:rsidR="00A82F91" w:rsidRPr="00EC3E42">
      <w:t xml:space="preserve"> (</w:t>
    </w:r>
    <w:r w:rsidR="00896531">
      <w:t>HK6T 04</w:t>
    </w:r>
    <w:r w:rsidRPr="00EC3E42">
      <w:t xml:space="preserve">) </w:t>
    </w:r>
    <w:r w:rsidR="00AA6BB6">
      <w:t>Supervise Practices for Handling Payments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970D62">
      <w:rPr>
        <w:noProof/>
      </w:rPr>
      <w:t>7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6531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70D62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A6BB6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0FB2FBF9"/>
  <w15:docId w15:val="{0816B2DB-57A2-4547-A672-9797733D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880A-9802-44B0-A4C8-C3CFC600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913</Words>
  <Characters>5210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</cp:revision>
  <cp:lastPrinted>2017-01-23T09:27:00Z</cp:lastPrinted>
  <dcterms:created xsi:type="dcterms:W3CDTF">2017-07-04T11:07:00Z</dcterms:created>
  <dcterms:modified xsi:type="dcterms:W3CDTF">2017-07-04T11:07:00Z</dcterms:modified>
</cp:coreProperties>
</file>