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E248A5">
        <w:rPr>
          <w:lang w:val="en-US"/>
        </w:rPr>
        <w:t>L2FBS19</w:t>
      </w:r>
      <w:r w:rsidRPr="00BD446B">
        <w:t xml:space="preserve"> (</w:t>
      </w:r>
      <w:r w:rsidR="00E53454">
        <w:t>HL1H 04</w:t>
      </w:r>
      <w:r w:rsidRPr="00BD446B">
        <w:t>)</w:t>
      </w:r>
      <w:r w:rsidR="00E12B5F" w:rsidRPr="00E12B5F">
        <w:tab/>
      </w:r>
      <w:r w:rsidR="00E248A5">
        <w:t>Promote New Menu Items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248A5" w:rsidRPr="00E12B5F" w:rsidRDefault="00BF1609" w:rsidP="00E248A5">
      <w:pPr>
        <w:pStyle w:val="Unittitle"/>
      </w:pPr>
      <w:r>
        <w:rPr>
          <w:sz w:val="22"/>
        </w:rPr>
        <w:br w:type="page"/>
      </w:r>
      <w:r w:rsidR="00E248A5">
        <w:lastRenderedPageBreak/>
        <w:t xml:space="preserve">Unit </w:t>
      </w:r>
      <w:r w:rsidR="00E248A5">
        <w:rPr>
          <w:lang w:val="en-US"/>
        </w:rPr>
        <w:t>PPL2FBS19</w:t>
      </w:r>
      <w:r w:rsidR="00E248A5" w:rsidRPr="00BD446B">
        <w:t xml:space="preserve"> (</w:t>
      </w:r>
      <w:r w:rsidR="00E53454">
        <w:t>HL1H 04</w:t>
      </w:r>
      <w:r w:rsidR="00E248A5" w:rsidRPr="00BD446B">
        <w:t>)</w:t>
      </w:r>
      <w:r w:rsidR="00E248A5" w:rsidRPr="00E12B5F">
        <w:tab/>
      </w:r>
      <w:r w:rsidR="00E248A5">
        <w:t>Promote New Menu Items</w:t>
      </w:r>
    </w:p>
    <w:p w:rsidR="007C6C2F" w:rsidRDefault="007C6C2F" w:rsidP="00E248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E248A5" w:rsidP="00E248A5">
            <w:r w:rsidRPr="00E248A5">
              <w:t xml:space="preserve">This </w:t>
            </w:r>
            <w:r>
              <w:t>unit</w:t>
            </w:r>
            <w:r w:rsidRPr="00E248A5">
              <w:t xml:space="preserve"> is about promoting menu items that have been recently introduced, and/or are being sold as part of a promotion. This includes using promotional materials such as tent cards and posters to display around the service area. This </w:t>
            </w:r>
            <w:r>
              <w:t>unit</w:t>
            </w:r>
            <w:r w:rsidRPr="00E248A5">
              <w:t xml:space="preserve"> also reflects the competencies</w:t>
            </w:r>
            <w:r>
              <w:t xml:space="preserve"> </w:t>
            </w:r>
            <w:r w:rsidRPr="00E248A5">
              <w:t>required to highlight new dishes that may appeal to the customer.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248A5" w:rsidRPr="00E12B5F" w:rsidRDefault="00A067C0" w:rsidP="00E248A5">
      <w:pPr>
        <w:pStyle w:val="Unittitle"/>
      </w:pPr>
      <w:r>
        <w:br w:type="page"/>
      </w:r>
      <w:r w:rsidR="00E248A5">
        <w:lastRenderedPageBreak/>
        <w:t xml:space="preserve">Unit </w:t>
      </w:r>
      <w:r w:rsidR="00E248A5">
        <w:rPr>
          <w:lang w:val="en-US"/>
        </w:rPr>
        <w:t>PPL2FBS19</w:t>
      </w:r>
      <w:r w:rsidR="00E248A5" w:rsidRPr="00BD446B">
        <w:t xml:space="preserve"> (</w:t>
      </w:r>
      <w:r w:rsidR="00E53454">
        <w:t>HL1H 04</w:t>
      </w:r>
      <w:r w:rsidR="00E248A5" w:rsidRPr="00BD446B">
        <w:t>)</w:t>
      </w:r>
      <w:r w:rsidR="00E248A5" w:rsidRPr="00E12B5F">
        <w:tab/>
      </w:r>
      <w:r w:rsidR="00E248A5">
        <w:t>Promote New Menu Items</w:t>
      </w:r>
    </w:p>
    <w:p w:rsidR="00FD2D45" w:rsidRDefault="00FD2D45" w:rsidP="00E248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6A55DB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E248A5" w:rsidRDefault="00E248A5" w:rsidP="00E248A5">
            <w:pPr>
              <w:rPr>
                <w:lang w:val="en-GB"/>
              </w:rPr>
            </w:pPr>
          </w:p>
          <w:p w:rsidR="00FD2D45" w:rsidRDefault="00A074D2" w:rsidP="00E248A5">
            <w:pPr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</w:t>
            </w:r>
            <w:r w:rsidRPr="005A1255">
              <w:rPr>
                <w:lang w:val="en-GB"/>
              </w:rPr>
              <w:t>all</w:t>
            </w:r>
            <w:r w:rsidRPr="00F45F55">
              <w:rPr>
                <w:lang w:val="en-GB"/>
              </w:rPr>
              <w:t xml:space="preserve"> Performance Criteria (PC).</w:t>
            </w:r>
            <w:r>
              <w:rPr>
                <w:lang w:val="en-GB"/>
              </w:rPr>
              <w:t xml:space="preserve">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FD2D45">
              <w:rPr>
                <w:lang w:val="en-GB"/>
              </w:rPr>
              <w:t xml:space="preserve">ss </w:t>
            </w:r>
            <w:r w:rsidR="006A55DB">
              <w:rPr>
                <w:lang w:val="en-GB"/>
              </w:rPr>
              <w:t>PCs</w:t>
            </w:r>
            <w:r w:rsidR="007A4A0B">
              <w:rPr>
                <w:lang w:val="en-GB"/>
              </w:rPr>
              <w:t xml:space="preserve"> </w:t>
            </w:r>
            <w:r w:rsidR="00E248A5">
              <w:rPr>
                <w:lang w:val="en-GB"/>
              </w:rPr>
              <w:t>1–5, 7 and 8 by</w:t>
            </w:r>
            <w:r w:rsidR="00FD2D45" w:rsidRPr="00BD446B">
              <w:rPr>
                <w:lang w:val="en-GB"/>
              </w:rPr>
              <w:t xml:space="preserve"> directly observing the candidate’s work.</w:t>
            </w:r>
            <w:r>
              <w:rPr>
                <w:lang w:val="en-GB"/>
              </w:rPr>
              <w:t xml:space="preserve"> </w:t>
            </w:r>
            <w:r w:rsidR="00E248A5"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  <w:p w:rsidR="00E248A5" w:rsidRPr="0064338D" w:rsidRDefault="00E248A5" w:rsidP="00E248A5">
            <w:pPr>
              <w:rPr>
                <w:lang w:val="en-GB"/>
              </w:rPr>
            </w:pP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E248A5" w:rsidRPr="00E248A5" w:rsidRDefault="00E248A5" w:rsidP="00E248A5">
            <w:pPr>
              <w:pStyle w:val="PClistbold"/>
            </w:pPr>
            <w:r>
              <w:t>1</w:t>
            </w:r>
            <w:r>
              <w:tab/>
            </w:r>
            <w:r w:rsidRPr="00E248A5">
              <w:t>Liaise with colleagues and senior staff to identify what menu items are to be promoted</w:t>
            </w:r>
            <w:r>
              <w:t>.</w:t>
            </w:r>
          </w:p>
          <w:p w:rsidR="00E248A5" w:rsidRPr="00E248A5" w:rsidRDefault="00E248A5" w:rsidP="00E248A5">
            <w:pPr>
              <w:pStyle w:val="PClistbold"/>
            </w:pPr>
            <w:r>
              <w:t>2</w:t>
            </w:r>
            <w:r>
              <w:tab/>
            </w:r>
            <w:r w:rsidRPr="00E248A5">
              <w:t>Obtain relevant promotional material</w:t>
            </w:r>
            <w:r>
              <w:t>.</w:t>
            </w:r>
          </w:p>
          <w:p w:rsidR="00E248A5" w:rsidRPr="00E248A5" w:rsidRDefault="00E248A5" w:rsidP="00E248A5">
            <w:pPr>
              <w:pStyle w:val="PClistbold"/>
            </w:pPr>
            <w:r>
              <w:t>3</w:t>
            </w:r>
            <w:r>
              <w:tab/>
            </w:r>
            <w:r w:rsidRPr="00E248A5">
              <w:t>Assemble and display promotional material in a manner that makes it clear and attractive to the customer</w:t>
            </w:r>
            <w:r>
              <w:t>.</w:t>
            </w:r>
          </w:p>
          <w:p w:rsidR="00E248A5" w:rsidRPr="00E248A5" w:rsidRDefault="00E248A5" w:rsidP="00E248A5">
            <w:pPr>
              <w:pStyle w:val="PClistbold"/>
            </w:pPr>
            <w:r>
              <w:t>4</w:t>
            </w:r>
            <w:r>
              <w:tab/>
            </w:r>
            <w:r w:rsidRPr="00E248A5">
              <w:t>Ensure that service areas are clean and set up correctly</w:t>
            </w:r>
            <w:r>
              <w:t>.</w:t>
            </w:r>
          </w:p>
          <w:p w:rsidR="00E248A5" w:rsidRPr="00E248A5" w:rsidRDefault="00E248A5" w:rsidP="00E248A5">
            <w:pPr>
              <w:pStyle w:val="PClistbold"/>
            </w:pPr>
            <w:r w:rsidRPr="00E248A5">
              <w:t>5</w:t>
            </w:r>
            <w:r>
              <w:tab/>
            </w:r>
            <w:r w:rsidRPr="00E248A5">
              <w:t>Inform customers of new menu items in a manner which is helpful and clear</w:t>
            </w:r>
            <w:r>
              <w:t>.</w:t>
            </w:r>
          </w:p>
          <w:p w:rsidR="00E248A5" w:rsidRPr="00E248A5" w:rsidRDefault="00E248A5" w:rsidP="00E248A5">
            <w:pPr>
              <w:pStyle w:val="PClist"/>
            </w:pPr>
            <w:r>
              <w:t>6</w:t>
            </w:r>
            <w:r>
              <w:tab/>
            </w:r>
            <w:r w:rsidRPr="00E248A5">
              <w:t>Answer questions regarding the flavour, ingredients and nature of the menu item clearly and in a manner that is helpful to the customer</w:t>
            </w:r>
            <w:r>
              <w:t>.</w:t>
            </w:r>
          </w:p>
          <w:p w:rsidR="00E248A5" w:rsidRPr="00E248A5" w:rsidRDefault="00E248A5" w:rsidP="00E248A5">
            <w:pPr>
              <w:pStyle w:val="PClistbold"/>
            </w:pPr>
            <w:r>
              <w:t>7</w:t>
            </w:r>
            <w:r>
              <w:tab/>
            </w:r>
            <w:r w:rsidRPr="00E248A5">
              <w:t>Refer to promotional material and displays to highlight the features of the menu items</w:t>
            </w:r>
            <w:r>
              <w:t>.</w:t>
            </w:r>
          </w:p>
          <w:p w:rsidR="00E248A5" w:rsidRDefault="00E248A5" w:rsidP="00E248A5">
            <w:pPr>
              <w:pStyle w:val="PClistbold"/>
            </w:pPr>
            <w:r>
              <w:t>8</w:t>
            </w:r>
            <w:r>
              <w:tab/>
            </w:r>
            <w:r w:rsidRPr="00E248A5">
              <w:t>Provide feedback to the appropriate people regarding the impact of the promotion</w:t>
            </w:r>
            <w:r>
              <w:t>.</w:t>
            </w:r>
          </w:p>
          <w:p w:rsidR="007A4A0B" w:rsidRDefault="007A4A0B" w:rsidP="001944AB"/>
        </w:tc>
      </w:tr>
    </w:tbl>
    <w:p w:rsidR="00E248A5" w:rsidRDefault="00E248A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248A5" w:rsidRPr="00E12B5F" w:rsidRDefault="00E248A5" w:rsidP="00E248A5">
      <w:pPr>
        <w:pStyle w:val="Unittitle"/>
      </w:pPr>
      <w:r>
        <w:t xml:space="preserve">Unit </w:t>
      </w:r>
      <w:r>
        <w:rPr>
          <w:lang w:val="en-US"/>
        </w:rPr>
        <w:t>PPL2FBS19</w:t>
      </w:r>
      <w:r w:rsidRPr="00BD446B">
        <w:t xml:space="preserve"> (</w:t>
      </w:r>
      <w:r w:rsidR="00E53454">
        <w:t>HL1H 04</w:t>
      </w:r>
      <w:r w:rsidRPr="00BD446B">
        <w:t>)</w:t>
      </w:r>
      <w:r w:rsidRPr="00E12B5F">
        <w:tab/>
      </w:r>
      <w:r>
        <w:t>Promote New Menu Items</w:t>
      </w:r>
    </w:p>
    <w:p w:rsidR="007C6C2F" w:rsidRDefault="007C6C2F" w:rsidP="001944AB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932"/>
        <w:gridCol w:w="1276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</w:tblGrid>
      <w:tr w:rsidR="006A55DB" w:rsidRPr="00E248A5" w:rsidTr="006A55DB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  <w:rPr>
                <w:b/>
              </w:rPr>
            </w:pPr>
            <w:r w:rsidRPr="006A55DB">
              <w:rPr>
                <w:b/>
              </w:rPr>
              <w:t>Evidence reference</w:t>
            </w:r>
          </w:p>
        </w:tc>
        <w:tc>
          <w:tcPr>
            <w:tcW w:w="4932" w:type="dxa"/>
            <w:vMerge w:val="restart"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  <w:rPr>
                <w:b/>
              </w:rPr>
            </w:pPr>
            <w:r w:rsidRPr="006A55DB">
              <w:rPr>
                <w:b/>
              </w:rPr>
              <w:t>Evidence description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  <w:rPr>
                <w:b/>
              </w:rPr>
            </w:pPr>
            <w:r w:rsidRPr="006A55DB">
              <w:rPr>
                <w:b/>
              </w:rPr>
              <w:t>Date</w:t>
            </w:r>
          </w:p>
        </w:tc>
        <w:tc>
          <w:tcPr>
            <w:tcW w:w="6662" w:type="dxa"/>
            <w:gridSpan w:val="9"/>
            <w:shd w:val="clear" w:color="auto" w:fill="BFBFBF" w:themeFill="background1" w:themeFillShade="BF"/>
            <w:vAlign w:val="center"/>
          </w:tcPr>
          <w:p w:rsidR="006A55DB" w:rsidRPr="006A55DB" w:rsidRDefault="006A55DB" w:rsidP="0081720E">
            <w:pPr>
              <w:pStyle w:val="Table10"/>
              <w:jc w:val="center"/>
              <w:rPr>
                <w:b/>
              </w:rPr>
            </w:pPr>
            <w:r w:rsidRPr="006A55DB">
              <w:rPr>
                <w:b/>
              </w:rPr>
              <w:t>Performance criteria</w:t>
            </w:r>
          </w:p>
        </w:tc>
      </w:tr>
      <w:tr w:rsidR="006A55DB" w:rsidRPr="00E248A5" w:rsidTr="006A55DB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4932" w:type="dxa"/>
            <w:vMerge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6662" w:type="dxa"/>
            <w:gridSpan w:val="9"/>
            <w:vMerge w:val="restart"/>
            <w:shd w:val="clear" w:color="auto" w:fill="BFBFBF" w:themeFill="background1" w:themeFillShade="BF"/>
            <w:vAlign w:val="center"/>
          </w:tcPr>
          <w:p w:rsidR="006A55DB" w:rsidRPr="006A55DB" w:rsidRDefault="006A55DB" w:rsidP="001C6E7B">
            <w:pPr>
              <w:pStyle w:val="Table10"/>
              <w:jc w:val="center"/>
              <w:rPr>
                <w:szCs w:val="22"/>
              </w:rPr>
            </w:pPr>
            <w:r w:rsidRPr="006A55DB">
              <w:rPr>
                <w:b/>
              </w:rPr>
              <w:t>What you must do</w:t>
            </w:r>
          </w:p>
        </w:tc>
      </w:tr>
      <w:tr w:rsidR="006A55DB" w:rsidRPr="00E248A5" w:rsidTr="006A55DB">
        <w:trPr>
          <w:cantSplit/>
          <w:trHeight w:val="258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4932" w:type="dxa"/>
            <w:vMerge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6662" w:type="dxa"/>
            <w:gridSpan w:val="9"/>
            <w:vMerge/>
            <w:shd w:val="clear" w:color="auto" w:fill="BFBFBF" w:themeFill="background1" w:themeFillShade="BF"/>
            <w:vAlign w:val="center"/>
          </w:tcPr>
          <w:p w:rsidR="006A55DB" w:rsidRPr="006A55DB" w:rsidRDefault="006A55DB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6A55DB" w:rsidRPr="0064705B" w:rsidTr="006A55DB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493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A55DB" w:rsidRPr="006A55DB" w:rsidRDefault="006A55DB" w:rsidP="00033849">
            <w:pPr>
              <w:pStyle w:val="Table10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1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3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4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6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8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A55DB" w:rsidRPr="006A55DB" w:rsidRDefault="006A55DB" w:rsidP="00043830">
            <w:pPr>
              <w:pStyle w:val="Table10"/>
              <w:jc w:val="center"/>
              <w:rPr>
                <w:b/>
                <w:szCs w:val="22"/>
              </w:rPr>
            </w:pPr>
            <w:r w:rsidRPr="006A55DB">
              <w:rPr>
                <w:b/>
                <w:szCs w:val="22"/>
              </w:rPr>
              <w:t>9</w:t>
            </w:r>
          </w:p>
        </w:tc>
      </w:tr>
      <w:tr w:rsidR="006A55DB" w:rsidRPr="0064705B" w:rsidTr="006A55DB">
        <w:tc>
          <w:tcPr>
            <w:tcW w:w="1413" w:type="dxa"/>
            <w:shd w:val="clear" w:color="auto" w:fill="auto"/>
          </w:tcPr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Pr="0064705B" w:rsidRDefault="006A55DB" w:rsidP="00784536">
            <w:pPr>
              <w:pStyle w:val="Table10"/>
            </w:pPr>
          </w:p>
        </w:tc>
        <w:tc>
          <w:tcPr>
            <w:tcW w:w="4932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851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</w:tr>
      <w:tr w:rsidR="006A55DB" w:rsidRPr="0064705B" w:rsidTr="006A55DB">
        <w:tc>
          <w:tcPr>
            <w:tcW w:w="1413" w:type="dxa"/>
            <w:shd w:val="clear" w:color="auto" w:fill="auto"/>
          </w:tcPr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Pr="0064705B" w:rsidRDefault="006A55DB" w:rsidP="00784536">
            <w:pPr>
              <w:pStyle w:val="Table10"/>
            </w:pPr>
          </w:p>
        </w:tc>
        <w:tc>
          <w:tcPr>
            <w:tcW w:w="4932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851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</w:tr>
      <w:tr w:rsidR="006A55DB" w:rsidRPr="0064705B" w:rsidTr="006A55DB">
        <w:tc>
          <w:tcPr>
            <w:tcW w:w="1413" w:type="dxa"/>
            <w:shd w:val="clear" w:color="auto" w:fill="auto"/>
          </w:tcPr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Pr="0064705B" w:rsidRDefault="006A55DB" w:rsidP="00784536">
            <w:pPr>
              <w:pStyle w:val="Table10"/>
            </w:pPr>
          </w:p>
        </w:tc>
        <w:tc>
          <w:tcPr>
            <w:tcW w:w="4932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851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</w:tr>
      <w:tr w:rsidR="006A55DB" w:rsidRPr="0064705B" w:rsidTr="006A55DB">
        <w:tc>
          <w:tcPr>
            <w:tcW w:w="1413" w:type="dxa"/>
            <w:shd w:val="clear" w:color="auto" w:fill="auto"/>
          </w:tcPr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Pr="0064705B" w:rsidRDefault="006A55DB" w:rsidP="00784536">
            <w:pPr>
              <w:pStyle w:val="Table10"/>
            </w:pPr>
          </w:p>
        </w:tc>
        <w:tc>
          <w:tcPr>
            <w:tcW w:w="4932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851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</w:tr>
      <w:tr w:rsidR="006A55DB" w:rsidRPr="0064705B" w:rsidTr="006A55DB">
        <w:tc>
          <w:tcPr>
            <w:tcW w:w="1413" w:type="dxa"/>
            <w:shd w:val="clear" w:color="auto" w:fill="auto"/>
          </w:tcPr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Pr="0064705B" w:rsidRDefault="006A55DB" w:rsidP="00784536">
            <w:pPr>
              <w:pStyle w:val="Table10"/>
            </w:pPr>
          </w:p>
        </w:tc>
        <w:tc>
          <w:tcPr>
            <w:tcW w:w="4932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851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</w:tr>
      <w:tr w:rsidR="006A55DB" w:rsidRPr="0064705B" w:rsidTr="006A55DB">
        <w:tc>
          <w:tcPr>
            <w:tcW w:w="1413" w:type="dxa"/>
            <w:shd w:val="clear" w:color="auto" w:fill="auto"/>
          </w:tcPr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Default="006A55DB" w:rsidP="00784536">
            <w:pPr>
              <w:pStyle w:val="Table10"/>
            </w:pPr>
          </w:p>
          <w:p w:rsidR="006A55DB" w:rsidRPr="0064705B" w:rsidRDefault="006A55DB" w:rsidP="00784536">
            <w:pPr>
              <w:pStyle w:val="Table10"/>
            </w:pPr>
            <w:bookmarkStart w:id="0" w:name="_GoBack"/>
            <w:bookmarkEnd w:id="0"/>
          </w:p>
        </w:tc>
        <w:tc>
          <w:tcPr>
            <w:tcW w:w="4932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1276" w:type="dxa"/>
            <w:shd w:val="clear" w:color="auto" w:fill="auto"/>
          </w:tcPr>
          <w:p w:rsidR="006A55DB" w:rsidRPr="0064705B" w:rsidRDefault="006A55DB" w:rsidP="00784536">
            <w:pPr>
              <w:pStyle w:val="Table10"/>
            </w:pPr>
          </w:p>
        </w:tc>
        <w:tc>
          <w:tcPr>
            <w:tcW w:w="851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6A55DB" w:rsidRPr="00707054" w:rsidRDefault="006A55DB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248A5" w:rsidRPr="00E12B5F" w:rsidRDefault="00E248A5" w:rsidP="00E248A5">
      <w:pPr>
        <w:pStyle w:val="Unittitle"/>
      </w:pPr>
      <w:r>
        <w:t xml:space="preserve">Unit </w:t>
      </w:r>
      <w:r>
        <w:rPr>
          <w:lang w:val="en-US"/>
        </w:rPr>
        <w:t>PPL2FBS19</w:t>
      </w:r>
      <w:r w:rsidRPr="00BD446B">
        <w:t xml:space="preserve"> (</w:t>
      </w:r>
      <w:r w:rsidR="00E53454">
        <w:t>HL1H 04</w:t>
      </w:r>
      <w:r w:rsidRPr="00BD446B">
        <w:t>)</w:t>
      </w:r>
      <w:r w:rsidRPr="00E12B5F">
        <w:tab/>
      </w:r>
      <w:r>
        <w:t>Promote New Menu Items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E248A5" w:rsidTr="00142130">
        <w:tc>
          <w:tcPr>
            <w:tcW w:w="570" w:type="dxa"/>
          </w:tcPr>
          <w:p w:rsidR="00E248A5" w:rsidRPr="00F11177" w:rsidRDefault="00E248A5" w:rsidP="00DF3CC5">
            <w:r>
              <w:t>1</w:t>
            </w:r>
          </w:p>
        </w:tc>
        <w:tc>
          <w:tcPr>
            <w:tcW w:w="11842" w:type="dxa"/>
          </w:tcPr>
          <w:p w:rsidR="00E248A5" w:rsidRPr="003341DE" w:rsidRDefault="00E248A5" w:rsidP="007D78F7">
            <w:pPr>
              <w:tabs>
                <w:tab w:val="left" w:pos="3969"/>
              </w:tabs>
            </w:pPr>
            <w:r w:rsidRPr="003341DE">
              <w:t>Why organisations use promotional activities</w:t>
            </w:r>
            <w:r>
              <w:t>.</w:t>
            </w:r>
          </w:p>
        </w:tc>
        <w:tc>
          <w:tcPr>
            <w:tcW w:w="1806" w:type="dxa"/>
          </w:tcPr>
          <w:p w:rsidR="00E248A5" w:rsidRDefault="00E248A5" w:rsidP="00142130">
            <w:pPr>
              <w:jc w:val="center"/>
            </w:pPr>
          </w:p>
        </w:tc>
      </w:tr>
      <w:tr w:rsidR="00E248A5" w:rsidTr="00142130">
        <w:tc>
          <w:tcPr>
            <w:tcW w:w="570" w:type="dxa"/>
          </w:tcPr>
          <w:p w:rsidR="00E248A5" w:rsidRPr="00F11177" w:rsidRDefault="00E248A5" w:rsidP="00DF3CC5">
            <w:r>
              <w:t>2</w:t>
            </w:r>
          </w:p>
        </w:tc>
        <w:tc>
          <w:tcPr>
            <w:tcW w:w="11842" w:type="dxa"/>
          </w:tcPr>
          <w:p w:rsidR="00E248A5" w:rsidRPr="003341DE" w:rsidRDefault="00E248A5" w:rsidP="007D78F7">
            <w:pPr>
              <w:tabs>
                <w:tab w:val="left" w:pos="3969"/>
              </w:tabs>
            </w:pPr>
            <w:r w:rsidRPr="003341DE">
              <w:t>The types of promotional material that can be used and their relative advantages and disadvantages</w:t>
            </w:r>
            <w:r>
              <w:t>.</w:t>
            </w:r>
          </w:p>
        </w:tc>
        <w:tc>
          <w:tcPr>
            <w:tcW w:w="1806" w:type="dxa"/>
          </w:tcPr>
          <w:p w:rsidR="00E248A5" w:rsidRDefault="00E248A5" w:rsidP="00142130">
            <w:pPr>
              <w:jc w:val="center"/>
            </w:pPr>
          </w:p>
        </w:tc>
      </w:tr>
      <w:tr w:rsidR="00E248A5" w:rsidTr="00142130">
        <w:tc>
          <w:tcPr>
            <w:tcW w:w="570" w:type="dxa"/>
          </w:tcPr>
          <w:p w:rsidR="00E248A5" w:rsidRPr="00F11177" w:rsidRDefault="00E248A5" w:rsidP="00DF3CC5">
            <w:r>
              <w:t>3</w:t>
            </w:r>
          </w:p>
        </w:tc>
        <w:tc>
          <w:tcPr>
            <w:tcW w:w="11842" w:type="dxa"/>
          </w:tcPr>
          <w:p w:rsidR="00E248A5" w:rsidRPr="003341DE" w:rsidRDefault="00E248A5" w:rsidP="007D78F7">
            <w:pPr>
              <w:tabs>
                <w:tab w:val="left" w:pos="3969"/>
              </w:tabs>
            </w:pPr>
            <w:r w:rsidRPr="003341DE">
              <w:t>Where promotional material can be obtained from and the organisational requirements for using it</w:t>
            </w:r>
            <w:r>
              <w:t>.</w:t>
            </w:r>
          </w:p>
        </w:tc>
        <w:tc>
          <w:tcPr>
            <w:tcW w:w="1806" w:type="dxa"/>
          </w:tcPr>
          <w:p w:rsidR="00E248A5" w:rsidRDefault="00E248A5" w:rsidP="00142130">
            <w:pPr>
              <w:jc w:val="center"/>
            </w:pPr>
          </w:p>
        </w:tc>
      </w:tr>
      <w:tr w:rsidR="00E248A5" w:rsidTr="00142130">
        <w:tc>
          <w:tcPr>
            <w:tcW w:w="570" w:type="dxa"/>
          </w:tcPr>
          <w:p w:rsidR="00E248A5" w:rsidRPr="00F11177" w:rsidRDefault="00E248A5" w:rsidP="00DF3CC5">
            <w:r>
              <w:t>4</w:t>
            </w:r>
          </w:p>
        </w:tc>
        <w:tc>
          <w:tcPr>
            <w:tcW w:w="11842" w:type="dxa"/>
          </w:tcPr>
          <w:p w:rsidR="00E248A5" w:rsidRPr="003341DE" w:rsidRDefault="00E248A5" w:rsidP="007D78F7">
            <w:pPr>
              <w:tabs>
                <w:tab w:val="left" w:pos="3969"/>
              </w:tabs>
            </w:pPr>
            <w:r w:rsidRPr="003341DE">
              <w:t>When promotions might commonly be used, including around public holidays and sporting/cultural events</w:t>
            </w:r>
            <w:r>
              <w:t>.</w:t>
            </w:r>
          </w:p>
        </w:tc>
        <w:tc>
          <w:tcPr>
            <w:tcW w:w="1806" w:type="dxa"/>
          </w:tcPr>
          <w:p w:rsidR="00E248A5" w:rsidRDefault="00E248A5" w:rsidP="00142130">
            <w:pPr>
              <w:jc w:val="center"/>
            </w:pPr>
          </w:p>
        </w:tc>
      </w:tr>
      <w:tr w:rsidR="00E248A5" w:rsidTr="00142130">
        <w:tc>
          <w:tcPr>
            <w:tcW w:w="570" w:type="dxa"/>
          </w:tcPr>
          <w:p w:rsidR="00E248A5" w:rsidRPr="00F11177" w:rsidRDefault="00E248A5" w:rsidP="00DF3CC5">
            <w:r>
              <w:t>5</w:t>
            </w:r>
          </w:p>
        </w:tc>
        <w:tc>
          <w:tcPr>
            <w:tcW w:w="11842" w:type="dxa"/>
          </w:tcPr>
          <w:p w:rsidR="00E248A5" w:rsidRPr="003341DE" w:rsidRDefault="00E248A5" w:rsidP="007D78F7">
            <w:pPr>
              <w:tabs>
                <w:tab w:val="left" w:pos="3969"/>
              </w:tabs>
            </w:pPr>
            <w:r w:rsidRPr="003341DE">
              <w:t>How menu items can be promoted by staff when communicating with customers</w:t>
            </w:r>
            <w:r>
              <w:t>.</w:t>
            </w:r>
          </w:p>
        </w:tc>
        <w:tc>
          <w:tcPr>
            <w:tcW w:w="1806" w:type="dxa"/>
          </w:tcPr>
          <w:p w:rsidR="00E248A5" w:rsidRDefault="00E248A5" w:rsidP="00142130">
            <w:pPr>
              <w:jc w:val="center"/>
            </w:pPr>
          </w:p>
        </w:tc>
      </w:tr>
      <w:tr w:rsidR="00E248A5" w:rsidTr="00142130">
        <w:tc>
          <w:tcPr>
            <w:tcW w:w="570" w:type="dxa"/>
          </w:tcPr>
          <w:p w:rsidR="00E248A5" w:rsidRPr="00F11177" w:rsidRDefault="00E248A5" w:rsidP="00DF3CC5">
            <w:r>
              <w:t>6</w:t>
            </w:r>
          </w:p>
        </w:tc>
        <w:tc>
          <w:tcPr>
            <w:tcW w:w="11842" w:type="dxa"/>
          </w:tcPr>
          <w:p w:rsidR="00E248A5" w:rsidRPr="003341DE" w:rsidRDefault="00E248A5" w:rsidP="007D78F7">
            <w:pPr>
              <w:tabs>
                <w:tab w:val="left" w:pos="3969"/>
              </w:tabs>
            </w:pPr>
            <w:r w:rsidRPr="003341DE">
              <w:t>The key features that can be highlighted when describing new/promoted menu items to customers</w:t>
            </w:r>
            <w:r>
              <w:t>.</w:t>
            </w:r>
          </w:p>
        </w:tc>
        <w:tc>
          <w:tcPr>
            <w:tcW w:w="1806" w:type="dxa"/>
          </w:tcPr>
          <w:p w:rsidR="00E248A5" w:rsidRDefault="00E248A5" w:rsidP="00142130">
            <w:pPr>
              <w:jc w:val="center"/>
            </w:pPr>
          </w:p>
        </w:tc>
      </w:tr>
      <w:tr w:rsidR="00E248A5" w:rsidTr="00142130">
        <w:tc>
          <w:tcPr>
            <w:tcW w:w="570" w:type="dxa"/>
          </w:tcPr>
          <w:p w:rsidR="00E248A5" w:rsidRPr="00F11177" w:rsidRDefault="00E248A5" w:rsidP="00DF3CC5">
            <w:r>
              <w:t>7</w:t>
            </w:r>
          </w:p>
        </w:tc>
        <w:tc>
          <w:tcPr>
            <w:tcW w:w="11842" w:type="dxa"/>
          </w:tcPr>
          <w:p w:rsidR="00E248A5" w:rsidRPr="003341DE" w:rsidRDefault="00E248A5" w:rsidP="007D78F7">
            <w:pPr>
              <w:tabs>
                <w:tab w:val="left" w:pos="3969"/>
              </w:tabs>
            </w:pPr>
            <w:r w:rsidRPr="003341DE">
              <w:t>Why it is important to know the ingredients contained within new/promoted menu items</w:t>
            </w:r>
            <w:r>
              <w:t>.</w:t>
            </w:r>
          </w:p>
        </w:tc>
        <w:tc>
          <w:tcPr>
            <w:tcW w:w="1806" w:type="dxa"/>
          </w:tcPr>
          <w:p w:rsidR="00E248A5" w:rsidRDefault="00E248A5" w:rsidP="00142130">
            <w:pPr>
              <w:jc w:val="center"/>
            </w:pPr>
          </w:p>
        </w:tc>
      </w:tr>
      <w:tr w:rsidR="00E248A5" w:rsidTr="00142130">
        <w:tc>
          <w:tcPr>
            <w:tcW w:w="570" w:type="dxa"/>
          </w:tcPr>
          <w:p w:rsidR="00E248A5" w:rsidRPr="00F11177" w:rsidRDefault="00E248A5" w:rsidP="00DF3CC5">
            <w:r>
              <w:t>8</w:t>
            </w:r>
          </w:p>
        </w:tc>
        <w:tc>
          <w:tcPr>
            <w:tcW w:w="11842" w:type="dxa"/>
          </w:tcPr>
          <w:p w:rsidR="00E248A5" w:rsidRDefault="00E248A5" w:rsidP="007D78F7">
            <w:r w:rsidRPr="003341DE">
              <w:t>The customer groups that might not be attracted to the new/promoted menu items and why</w:t>
            </w:r>
            <w:r>
              <w:t>.</w:t>
            </w:r>
          </w:p>
        </w:tc>
        <w:tc>
          <w:tcPr>
            <w:tcW w:w="1806" w:type="dxa"/>
          </w:tcPr>
          <w:p w:rsidR="00E248A5" w:rsidRDefault="00E248A5" w:rsidP="00142130">
            <w:pPr>
              <w:jc w:val="center"/>
            </w:pPr>
          </w:p>
        </w:tc>
      </w:tr>
    </w:tbl>
    <w:p w:rsidR="00E248A5" w:rsidRDefault="00E248A5" w:rsidP="00E248A5">
      <w:pPr>
        <w:tabs>
          <w:tab w:val="left" w:pos="3969"/>
        </w:tabs>
        <w:rPr>
          <w:lang w:val="en-GB"/>
        </w:rPr>
      </w:pPr>
    </w:p>
    <w:p w:rsidR="00E248A5" w:rsidRPr="00E12B5F" w:rsidRDefault="00AB2D75" w:rsidP="00E248A5">
      <w:pPr>
        <w:pStyle w:val="Unittitle"/>
      </w:pPr>
      <w:r>
        <w:br w:type="page"/>
      </w:r>
      <w:r w:rsidR="00E248A5">
        <w:t xml:space="preserve">Unit </w:t>
      </w:r>
      <w:r w:rsidR="00E248A5">
        <w:rPr>
          <w:lang w:val="en-US"/>
        </w:rPr>
        <w:t>PPL2FBS19</w:t>
      </w:r>
      <w:r w:rsidR="00E248A5" w:rsidRPr="00BD446B">
        <w:t xml:space="preserve"> (</w:t>
      </w:r>
      <w:r w:rsidR="00E53454">
        <w:t>HL1H 04</w:t>
      </w:r>
      <w:r w:rsidR="00E248A5" w:rsidRPr="00BD446B">
        <w:t>)</w:t>
      </w:r>
      <w:r w:rsidR="00E248A5" w:rsidRPr="00E12B5F">
        <w:tab/>
      </w:r>
      <w:r w:rsidR="00E248A5">
        <w:t>Promote New Menu Items</w:t>
      </w:r>
    </w:p>
    <w:p w:rsidR="007C6C2F" w:rsidRPr="00AB2D75" w:rsidRDefault="007C6C2F" w:rsidP="00E248A5"/>
    <w:p w:rsidR="006325C8" w:rsidRPr="00F3442C" w:rsidRDefault="0072426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E248A5">
      <w:t>L2FBS19</w:t>
    </w:r>
    <w:r w:rsidR="00A82F91" w:rsidRPr="00EC3E42">
      <w:t xml:space="preserve"> (</w:t>
    </w:r>
    <w:r w:rsidR="00E53454">
      <w:t>HL1H 04</w:t>
    </w:r>
    <w:r w:rsidRPr="00EC3E42">
      <w:t xml:space="preserve">) </w:t>
    </w:r>
    <w:r w:rsidR="00E248A5">
      <w:t>Promote New Menu Items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A55DB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55DB"/>
    <w:rsid w:val="006A74C8"/>
    <w:rsid w:val="00707054"/>
    <w:rsid w:val="007074A2"/>
    <w:rsid w:val="007158CB"/>
    <w:rsid w:val="0072426E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074D2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248A5"/>
    <w:rsid w:val="00E36C4A"/>
    <w:rsid w:val="00E53454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73A6B1FE"/>
  <w15:docId w15:val="{BBAF34CB-E831-4DC3-9440-F565A672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D642-444F-4449-BA4A-844C17DCE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23</cp:revision>
  <cp:lastPrinted>2017-01-23T09:27:00Z</cp:lastPrinted>
  <dcterms:created xsi:type="dcterms:W3CDTF">2017-01-23T09:21:00Z</dcterms:created>
  <dcterms:modified xsi:type="dcterms:W3CDTF">2017-07-06T17:16:00Z</dcterms:modified>
</cp:coreProperties>
</file>