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DD" w:rsidRPr="009D5CDD" w:rsidRDefault="009D5CDD" w:rsidP="009D5CDD">
      <w:r w:rsidRPr="009D5CDD">
        <w:t>Example 1: Lead internal verifier model (this example uses the pro forma from the IV Toolkit at every stage).</w:t>
      </w:r>
    </w:p>
    <w:p w:rsidR="009D5CDD" w:rsidRDefault="00956BB4" w:rsidP="009D5CDD">
      <w:pPr>
        <w:pStyle w:val="Heading2"/>
      </w:pPr>
      <w:r w:rsidRPr="008F5065">
        <w:t>Internal Verification Self-</w:t>
      </w:r>
      <w:r w:rsidR="00141079">
        <w:t>a</w:t>
      </w:r>
      <w:r w:rsidRPr="008F5065">
        <w:t>ssessment and Evidence Log</w:t>
      </w:r>
    </w:p>
    <w:p w:rsidR="009D5CDD" w:rsidRPr="009D5CDD" w:rsidRDefault="009D5CDD" w:rsidP="009D5CDD">
      <w:pPr>
        <w:rPr>
          <w:lang w:eastAsia="en-US" w:bidi="en-US"/>
        </w:rPr>
      </w:pPr>
    </w:p>
    <w:p w:rsidR="00ED2976" w:rsidRPr="008F5065" w:rsidRDefault="00956BB4" w:rsidP="008F5065">
      <w:pPr>
        <w:rPr>
          <w:b/>
        </w:rPr>
      </w:pPr>
      <w:r w:rsidRPr="008F5065">
        <w:rPr>
          <w:b/>
        </w:rPr>
        <w:t>Centre:</w:t>
      </w:r>
      <w:r w:rsidR="008F5065" w:rsidRPr="008F5065">
        <w:t xml:space="preserve"> ___________________________________________</w:t>
      </w:r>
      <w:r w:rsidR="008F5065" w:rsidRPr="008F5065">
        <w:rPr>
          <w:b/>
        </w:rPr>
        <w:t xml:space="preserve"> </w:t>
      </w:r>
      <w:r w:rsidRPr="008F5065">
        <w:rPr>
          <w:b/>
        </w:rPr>
        <w:t>Department/Course</w:t>
      </w:r>
      <w:r w:rsidR="008F5065">
        <w:rPr>
          <w:b/>
        </w:rPr>
        <w:t xml:space="preserve"> </w:t>
      </w:r>
      <w:r w:rsidR="008F5065" w:rsidRPr="008F5065">
        <w:t>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944"/>
        <w:gridCol w:w="2726"/>
        <w:gridCol w:w="3086"/>
        <w:gridCol w:w="2584"/>
      </w:tblGrid>
      <w:tr w:rsidR="00ED2976" w:rsidRPr="008F5065" w:rsidTr="007F7E6E">
        <w:trPr>
          <w:tblHeader/>
        </w:trPr>
        <w:tc>
          <w:tcPr>
            <w:tcW w:w="2834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 xml:space="preserve">Internal </w:t>
            </w:r>
            <w:r w:rsidR="008F5065">
              <w:t>v</w:t>
            </w:r>
            <w:r w:rsidRPr="008F5065">
              <w:t>erification stage</w:t>
            </w:r>
          </w:p>
        </w:tc>
        <w:tc>
          <w:tcPr>
            <w:tcW w:w="2944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Internal process</w:t>
            </w:r>
          </w:p>
        </w:tc>
        <w:tc>
          <w:tcPr>
            <w:tcW w:w="2726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Staff involved</w:t>
            </w:r>
          </w:p>
        </w:tc>
        <w:tc>
          <w:tcPr>
            <w:tcW w:w="3086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Records (*to be provided for SQA verification)</w:t>
            </w:r>
          </w:p>
        </w:tc>
        <w:tc>
          <w:tcPr>
            <w:tcW w:w="2584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Comments/</w:t>
            </w:r>
            <w:r w:rsidR="008F5065">
              <w:t>g</w:t>
            </w:r>
            <w:r w:rsidRPr="008F5065">
              <w:t>aps</w:t>
            </w:r>
          </w:p>
        </w:tc>
      </w:tr>
      <w:tr w:rsidR="00F7197D" w:rsidRPr="008F5065" w:rsidTr="007F7E6E">
        <w:tc>
          <w:tcPr>
            <w:tcW w:w="2834" w:type="dxa"/>
          </w:tcPr>
          <w:p w:rsidR="00F7197D" w:rsidRPr="008F5065" w:rsidRDefault="00956BB4" w:rsidP="00956BB4">
            <w:pPr>
              <w:pStyle w:val="Tabletextheading"/>
            </w:pPr>
            <w:r w:rsidRPr="008F5065">
              <w:t>Pre-delivery</w:t>
            </w:r>
          </w:p>
        </w:tc>
        <w:tc>
          <w:tcPr>
            <w:tcW w:w="2944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2726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3086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2584" w:type="dxa"/>
          </w:tcPr>
          <w:p w:rsidR="00F7197D" w:rsidRPr="008F5065" w:rsidRDefault="007C2D7C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Allocation of roles for asse</w:t>
            </w:r>
            <w:r w:rsidR="00121202">
              <w:t>ssing and internally verifying U</w:t>
            </w:r>
            <w:r w:rsidRPr="008F5065">
              <w:t>nits</w:t>
            </w:r>
          </w:p>
        </w:tc>
        <w:tc>
          <w:tcPr>
            <w:tcW w:w="2944" w:type="dxa"/>
          </w:tcPr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Principal Teacher allocates roles to each member of teaching staff in the department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Principal Teacher</w:t>
            </w:r>
          </w:p>
        </w:tc>
        <w:tc>
          <w:tcPr>
            <w:tcW w:w="3086" w:type="dxa"/>
          </w:tcPr>
          <w:p w:rsidR="001205FB" w:rsidRPr="00151005" w:rsidRDefault="001205FB" w:rsidP="001205FB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Table of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nits in each </w:t>
            </w: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151005">
              <w:rPr>
                <w:rFonts w:ascii="Comic Sans MS" w:hAnsi="Comic Sans MS"/>
                <w:sz w:val="20"/>
                <w:szCs w:val="20"/>
              </w:rPr>
              <w:t>ourse and level, with assessors and IVs named against each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Checking most up-to-date SQA documents being used</w:t>
            </w:r>
            <w:r>
              <w:t xml:space="preserve"> (e</w:t>
            </w:r>
            <w:r w:rsidRPr="008F5065">
              <w:t xml:space="preserve">g UASP, </w:t>
            </w:r>
            <w:r>
              <w:t>U</w:t>
            </w:r>
            <w:r w:rsidRPr="008F5065">
              <w:t xml:space="preserve">nit </w:t>
            </w:r>
            <w:r>
              <w:t>S</w:t>
            </w:r>
            <w:r w:rsidRPr="008F5065">
              <w:t>pecification)</w:t>
            </w:r>
          </w:p>
        </w:tc>
        <w:tc>
          <w:tcPr>
            <w:tcW w:w="2944" w:type="dxa"/>
          </w:tcPr>
          <w:p w:rsidR="001205FB" w:rsidRPr="00151005" w:rsidRDefault="001205FB" w:rsidP="001205FB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Each internal verifier checks the SQA website </w:t>
            </w:r>
            <w:r>
              <w:rPr>
                <w:rFonts w:ascii="Comic Sans MS" w:hAnsi="Comic Sans MS"/>
                <w:sz w:val="20"/>
                <w:szCs w:val="20"/>
              </w:rPr>
              <w:t xml:space="preserve">subject pages 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for most recent versions of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nit 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pecifications and UASPs for the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151005">
              <w:rPr>
                <w:rFonts w:ascii="Comic Sans MS" w:hAnsi="Comic Sans MS"/>
                <w:sz w:val="20"/>
                <w:szCs w:val="20"/>
              </w:rPr>
              <w:t>nits they are responsible for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121202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Internal verifiers</w:t>
            </w:r>
          </w:p>
          <w:p w:rsidR="00121202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SQA Co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151005">
              <w:rPr>
                <w:rFonts w:ascii="Comic Sans MS" w:hAnsi="Comic Sans MS"/>
                <w:sz w:val="20"/>
                <w:szCs w:val="20"/>
              </w:rPr>
              <w:t>ordinator (forwards any e-mail updates to PT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holds password for SQA secure site</w:t>
            </w:r>
            <w:r w:rsidRPr="00151005">
              <w:rPr>
                <w:rFonts w:ascii="Comic Sans MS" w:hAnsi="Comic Sans MS"/>
                <w:sz w:val="20"/>
                <w:szCs w:val="20"/>
              </w:rPr>
              <w:t>)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1202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PT (forwards any e-mail updates to relevant IVs)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1202" w:rsidRDefault="00121202" w:rsidP="002643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202" w:rsidRPr="00151005" w:rsidRDefault="00121202" w:rsidP="002643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6" w:type="dxa"/>
          </w:tcPr>
          <w:p w:rsidR="00121202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Unit master files (electronic, held on shared drive) with downloaded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nit 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151005">
              <w:rPr>
                <w:rFonts w:ascii="Comic Sans MS" w:hAnsi="Comic Sans MS"/>
                <w:sz w:val="20"/>
                <w:szCs w:val="20"/>
              </w:rPr>
              <w:t>pecifications and UASPs</w:t>
            </w:r>
            <w:r>
              <w:rPr>
                <w:rFonts w:ascii="Comic Sans MS" w:hAnsi="Comic Sans MS"/>
                <w:sz w:val="20"/>
                <w:szCs w:val="20"/>
              </w:rPr>
              <w:t xml:space="preserve"> for use by assessors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Pr="00151005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E-mails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lastRenderedPageBreak/>
              <w:t>Understanding standards and conditions prior to assessment</w:t>
            </w:r>
          </w:p>
        </w:tc>
        <w:tc>
          <w:tcPr>
            <w:tcW w:w="2944" w:type="dxa"/>
          </w:tcPr>
          <w:p w:rsidR="00121202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CPD events </w:t>
            </w:r>
            <w:r w:rsidR="00121202">
              <w:rPr>
                <w:rFonts w:ascii="Comic Sans MS" w:hAnsi="Comic Sans MS"/>
                <w:sz w:val="20"/>
                <w:szCs w:val="20"/>
              </w:rPr>
              <w:t>—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 SQA events and loca</w:t>
            </w:r>
            <w:r w:rsidR="00121202">
              <w:rPr>
                <w:rFonts w:ascii="Comic Sans MS" w:hAnsi="Comic Sans MS"/>
                <w:sz w:val="20"/>
                <w:szCs w:val="20"/>
              </w:rPr>
              <w:t>l authority events</w:t>
            </w:r>
            <w:bookmarkStart w:id="0" w:name="_GoBack"/>
            <w:bookmarkEnd w:id="0"/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Pr="00151005" w:rsidRDefault="00121202" w:rsidP="002643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1205FB" w:rsidRPr="00151005">
              <w:rPr>
                <w:rFonts w:ascii="Comic Sans MS" w:hAnsi="Comic Sans MS"/>
                <w:sz w:val="20"/>
                <w:szCs w:val="20"/>
              </w:rPr>
              <w:t>Pre-delivery standardisation meetings in department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All teaching staff</w:t>
            </w:r>
          </w:p>
        </w:tc>
        <w:tc>
          <w:tcPr>
            <w:tcW w:w="3086" w:type="dxa"/>
          </w:tcPr>
          <w:p w:rsidR="00121202" w:rsidRDefault="001205FB" w:rsidP="00121202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CPD events </w:t>
            </w:r>
            <w:r>
              <w:rPr>
                <w:rFonts w:ascii="Comic Sans MS" w:hAnsi="Comic Sans MS"/>
                <w:sz w:val="20"/>
                <w:szCs w:val="20"/>
              </w:rPr>
              <w:t>—</w:t>
            </w:r>
            <w:r w:rsidR="00121202">
              <w:rPr>
                <w:rFonts w:ascii="Comic Sans MS" w:hAnsi="Comic Sans MS"/>
                <w:sz w:val="20"/>
                <w:szCs w:val="20"/>
              </w:rPr>
              <w:t xml:space="preserve"> presentations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1202" w:rsidRDefault="001205FB" w:rsidP="00121202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Understanding Sta</w:t>
            </w:r>
            <w:r w:rsidR="00121202">
              <w:rPr>
                <w:rFonts w:ascii="Comic Sans MS" w:hAnsi="Comic Sans MS"/>
                <w:sz w:val="20"/>
                <w:szCs w:val="20"/>
              </w:rPr>
              <w:t>ndards exemplification from SQA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F7E6E" w:rsidRPr="00151005" w:rsidRDefault="001205FB" w:rsidP="00121202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Understanding standards pro forma </w:t>
            </w:r>
            <w:r w:rsidR="00121202">
              <w:rPr>
                <w:rFonts w:ascii="Comic Sans MS" w:hAnsi="Comic Sans MS"/>
                <w:sz w:val="20"/>
                <w:szCs w:val="20"/>
              </w:rPr>
              <w:t>—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 records of staff meetings and actions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Internal verification of own centre-devised assessments and prior verification by SQA</w:t>
            </w:r>
          </w:p>
        </w:tc>
        <w:tc>
          <w:tcPr>
            <w:tcW w:w="2944" w:type="dxa"/>
          </w:tcPr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Assessors and IVs decide on whether to use</w:t>
            </w:r>
            <w:r w:rsidR="00121202">
              <w:rPr>
                <w:rFonts w:ascii="Comic Sans MS" w:hAnsi="Comic Sans MS"/>
                <w:sz w:val="20"/>
                <w:szCs w:val="20"/>
              </w:rPr>
              <w:t xml:space="preserve"> SQA UASP, adapt or write own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Assessor produces draft assessment and IV checks and feeds back to assesso</w:t>
            </w:r>
            <w:r w:rsidR="00121202">
              <w:rPr>
                <w:rFonts w:ascii="Comic Sans MS" w:hAnsi="Comic Sans MS"/>
                <w:sz w:val="20"/>
                <w:szCs w:val="20"/>
              </w:rPr>
              <w:t>r — and signs off when approved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  <w:r w:rsidRPr="0015100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Default="00121202" w:rsidP="001C36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1205FB" w:rsidRPr="00264336" w:rsidRDefault="001205FB" w:rsidP="001C36A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51005">
              <w:rPr>
                <w:rFonts w:ascii="Comic Sans MS" w:hAnsi="Comic Sans MS" w:cs="Arial"/>
                <w:sz w:val="20"/>
                <w:szCs w:val="20"/>
              </w:rPr>
              <w:t>Assessment approved by IV sent to SQA for prior verification.</w:t>
            </w:r>
          </w:p>
        </w:tc>
        <w:tc>
          <w:tcPr>
            <w:tcW w:w="2726" w:type="dxa"/>
          </w:tcPr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Assessors and IV</w:t>
            </w: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Default="00121202" w:rsidP="001C36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SQA Co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151005">
              <w:rPr>
                <w:rFonts w:ascii="Comic Sans MS" w:hAnsi="Comic Sans MS"/>
                <w:sz w:val="20"/>
                <w:szCs w:val="20"/>
              </w:rPr>
              <w:t>ordinator</w:t>
            </w:r>
          </w:p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6" w:type="dxa"/>
          </w:tcPr>
          <w:p w:rsidR="00121202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Notes in pre-delivery understanding standards pro forma identifying</w:t>
            </w:r>
            <w:r w:rsidR="00121202">
              <w:rPr>
                <w:rFonts w:ascii="Comic Sans MS" w:hAnsi="Comic Sans MS"/>
                <w:sz w:val="20"/>
                <w:szCs w:val="20"/>
              </w:rPr>
              <w:t xml:space="preserve"> new assessments to be produced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F7E6E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*Pro forma for recording internal verifi</w:t>
            </w:r>
            <w:r w:rsidR="00121202">
              <w:rPr>
                <w:rFonts w:ascii="Comic Sans MS" w:hAnsi="Comic Sans MS"/>
                <w:sz w:val="20"/>
                <w:szCs w:val="20"/>
              </w:rPr>
              <w:t>er comments on draft assessment.</w:t>
            </w:r>
          </w:p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*Final copy of assessment with footer on each page stating version number, name of IV who appro</w:t>
            </w:r>
            <w:r w:rsidR="00121202">
              <w:rPr>
                <w:rFonts w:ascii="Comic Sans MS" w:hAnsi="Comic Sans MS"/>
                <w:sz w:val="20"/>
                <w:szCs w:val="20"/>
              </w:rPr>
              <w:t>ved it and the date of approval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1202" w:rsidRPr="00151005" w:rsidRDefault="001205FB" w:rsidP="001205FB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Log of assessments (spreadsheet online) sent to SQA for prior verification, dates sent, dates received back, date forwarded to PT, outcome of prior verification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Providing information to pupils on assessment and re-assessment policy</w:t>
            </w:r>
          </w:p>
        </w:tc>
        <w:tc>
          <w:tcPr>
            <w:tcW w:w="2944" w:type="dxa"/>
          </w:tcPr>
          <w:p w:rsidR="001205FB" w:rsidRPr="00151005" w:rsidRDefault="001205FB" w:rsidP="001205FB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 xml:space="preserve">Information given out to pupils in class at start of teaching of each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151005">
              <w:rPr>
                <w:rFonts w:ascii="Comic Sans MS" w:hAnsi="Comic Sans MS"/>
                <w:sz w:val="20"/>
                <w:szCs w:val="20"/>
              </w:rPr>
              <w:t>nit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1205FB" w:rsidRPr="00151005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151005">
              <w:rPr>
                <w:rFonts w:ascii="Comic Sans MS" w:hAnsi="Comic Sans MS"/>
                <w:sz w:val="20"/>
                <w:szCs w:val="20"/>
              </w:rPr>
              <w:t>All teaching staff</w:t>
            </w:r>
          </w:p>
        </w:tc>
        <w:tc>
          <w:tcPr>
            <w:tcW w:w="3086" w:type="dxa"/>
          </w:tcPr>
          <w:p w:rsidR="00121202" w:rsidRDefault="00121202" w:rsidP="001205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Candidate information sheets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Pr="00151005" w:rsidRDefault="00121202" w:rsidP="001205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1205FB" w:rsidRPr="00151005">
              <w:rPr>
                <w:rFonts w:ascii="Comic Sans MS" w:hAnsi="Comic Sans MS"/>
                <w:sz w:val="20"/>
                <w:szCs w:val="20"/>
              </w:rPr>
              <w:t xml:space="preserve">upil information sheets for each </w:t>
            </w:r>
            <w:r w:rsidR="001205FB">
              <w:rPr>
                <w:rFonts w:ascii="Comic Sans MS" w:hAnsi="Comic Sans MS"/>
                <w:sz w:val="20"/>
                <w:szCs w:val="20"/>
              </w:rPr>
              <w:t>U</w:t>
            </w:r>
            <w:r w:rsidR="001205FB" w:rsidRPr="00151005">
              <w:rPr>
                <w:rFonts w:ascii="Comic Sans MS" w:hAnsi="Comic Sans MS"/>
                <w:sz w:val="20"/>
                <w:szCs w:val="20"/>
              </w:rPr>
              <w:t xml:space="preserve">nit explaining contents of </w:t>
            </w:r>
            <w:r w:rsidR="001205FB">
              <w:rPr>
                <w:rFonts w:ascii="Comic Sans MS" w:hAnsi="Comic Sans MS"/>
                <w:sz w:val="20"/>
                <w:szCs w:val="20"/>
              </w:rPr>
              <w:t>U</w:t>
            </w:r>
            <w:r w:rsidR="001205FB" w:rsidRPr="00151005">
              <w:rPr>
                <w:rFonts w:ascii="Comic Sans MS" w:hAnsi="Comic Sans MS"/>
                <w:sz w:val="20"/>
                <w:szCs w:val="20"/>
              </w:rPr>
              <w:t>nit and how it will be assessed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F7197D" w:rsidRPr="008F5065" w:rsidTr="007F7E6E">
        <w:tc>
          <w:tcPr>
            <w:tcW w:w="2834" w:type="dxa"/>
          </w:tcPr>
          <w:p w:rsidR="00F7197D" w:rsidRPr="008F5065" w:rsidRDefault="00956BB4" w:rsidP="00956BB4">
            <w:pPr>
              <w:pStyle w:val="Tabletextheading"/>
            </w:pPr>
            <w:r w:rsidRPr="008F5065">
              <w:t>During delivery</w:t>
            </w:r>
          </w:p>
        </w:tc>
        <w:tc>
          <w:tcPr>
            <w:tcW w:w="2944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2726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3086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2584" w:type="dxa"/>
          </w:tcPr>
          <w:p w:rsidR="00F7197D" w:rsidRPr="008F5065" w:rsidRDefault="007C2D7C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Sampling of pupils’ assessments</w:t>
            </w:r>
          </w:p>
        </w:tc>
        <w:tc>
          <w:tcPr>
            <w:tcW w:w="2944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Sample for the session agreed. Information from IV</w:t>
            </w:r>
            <w:r w:rsidR="00121202">
              <w:rPr>
                <w:rFonts w:ascii="Comic Sans MS" w:hAnsi="Comic Sans MS"/>
                <w:sz w:val="20"/>
                <w:szCs w:val="20"/>
              </w:rPr>
              <w:t>s agreed and collated by the PT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IV liaises with assessors, carries out sampling and provides feedback to assessors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7F7E6E" w:rsidRDefault="001205FB" w:rsidP="007F7E6E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Internal verifiers</w:t>
            </w:r>
          </w:p>
          <w:p w:rsidR="001205FB" w:rsidRPr="00EF4EEC" w:rsidRDefault="001205FB" w:rsidP="007F7E6E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Principal Teacher</w:t>
            </w:r>
          </w:p>
        </w:tc>
        <w:tc>
          <w:tcPr>
            <w:tcW w:w="308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 xml:space="preserve">Spreadsheet of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EF4EEC">
              <w:rPr>
                <w:rFonts w:ascii="Comic Sans MS" w:hAnsi="Comic Sans MS"/>
                <w:sz w:val="20"/>
                <w:szCs w:val="20"/>
              </w:rPr>
              <w:t>nits, showing sampling criteria, which class groups will be</w:t>
            </w:r>
            <w:r w:rsidR="00121202">
              <w:rPr>
                <w:rFonts w:ascii="Comic Sans MS" w:hAnsi="Comic Sans MS"/>
                <w:sz w:val="20"/>
                <w:szCs w:val="20"/>
              </w:rPr>
              <w:t xml:space="preserve"> sampled and dates for sampling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*Completed pro forma for recording outcome of sampling and feedback to assessor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Feedback to teachers on assessment sampled</w:t>
            </w:r>
          </w:p>
        </w:tc>
        <w:tc>
          <w:tcPr>
            <w:tcW w:w="2944" w:type="dxa"/>
          </w:tcPr>
          <w:p w:rsidR="00121202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 xml:space="preserve">IV provides feedback </w:t>
            </w:r>
            <w:r w:rsidR="00121202">
              <w:rPr>
                <w:rFonts w:ascii="Comic Sans MS" w:hAnsi="Comic Sans MS"/>
                <w:sz w:val="20"/>
                <w:szCs w:val="20"/>
              </w:rPr>
              <w:t>to assessor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1202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Actions agreed and IV updates record when they are completed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D5CDD" w:rsidRPr="00EF4EEC" w:rsidRDefault="009D5CDD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*Completed pro forma for recording outcome of sampling and feedback to assessor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On-going standardisation</w:t>
            </w:r>
          </w:p>
        </w:tc>
        <w:tc>
          <w:tcPr>
            <w:tcW w:w="2944" w:type="dxa"/>
          </w:tcPr>
          <w:p w:rsidR="00121202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Standardisation meetings h</w:t>
            </w:r>
            <w:r w:rsidR="007F7E6E">
              <w:rPr>
                <w:rFonts w:ascii="Comic Sans MS" w:hAnsi="Comic Sans MS"/>
                <w:sz w:val="20"/>
                <w:szCs w:val="20"/>
              </w:rPr>
              <w:t>eld in November and February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64336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IVs provide feedback on sampling activities to date and any issues for wider discussion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All teaching staff</w:t>
            </w:r>
          </w:p>
          <w:p w:rsidR="001205FB" w:rsidRPr="00EF4EEC" w:rsidRDefault="00264336" w:rsidP="001212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121202">
              <w:rPr>
                <w:rFonts w:ascii="Comic Sans MS" w:hAnsi="Comic Sans MS"/>
                <w:sz w:val="20"/>
                <w:szCs w:val="20"/>
              </w:rPr>
              <w:br/>
            </w:r>
            <w:r w:rsidR="001205FB" w:rsidRPr="00EF4EEC">
              <w:rPr>
                <w:rFonts w:ascii="Comic Sans MS" w:hAnsi="Comic Sans MS"/>
                <w:sz w:val="20"/>
                <w:szCs w:val="20"/>
              </w:rPr>
              <w:t>Internal verifiers</w:t>
            </w:r>
          </w:p>
        </w:tc>
        <w:tc>
          <w:tcPr>
            <w:tcW w:w="308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Pro forma for recording notes and action points from on-going standardisation meetings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Reviewing and acting on feedback from SQA Verification (including Key Messages)</w:t>
            </w:r>
          </w:p>
        </w:tc>
        <w:tc>
          <w:tcPr>
            <w:tcW w:w="2944" w:type="dxa"/>
          </w:tcPr>
          <w:p w:rsidR="00121202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Standardis</w:t>
            </w:r>
            <w:r>
              <w:rPr>
                <w:rFonts w:ascii="Comic Sans MS" w:hAnsi="Comic Sans MS"/>
                <w:sz w:val="20"/>
                <w:szCs w:val="20"/>
              </w:rPr>
              <w:t>ation meeting</w:t>
            </w:r>
            <w:r w:rsidR="00121202">
              <w:rPr>
                <w:rFonts w:ascii="Comic Sans MS" w:hAnsi="Comic Sans MS"/>
                <w:sz w:val="20"/>
                <w:szCs w:val="20"/>
              </w:rPr>
              <w:t>s held in November and February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05FB" w:rsidRPr="00EF4EEC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Feedback from external verification discussed when received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7F7E6E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Principal Teacher</w:t>
            </w:r>
          </w:p>
          <w:p w:rsidR="001205FB" w:rsidRPr="00EF4EEC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All teaching staff</w:t>
            </w:r>
          </w:p>
        </w:tc>
        <w:tc>
          <w:tcPr>
            <w:tcW w:w="308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Key messages downloaded from SQA website and discussed at meeting.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Dealing with specific queries from teachers or pupil appeals</w:t>
            </w:r>
          </w:p>
        </w:tc>
        <w:tc>
          <w:tcPr>
            <w:tcW w:w="2944" w:type="dxa"/>
          </w:tcPr>
          <w:p w:rsidR="001205FB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 xml:space="preserve">Internal verifier provides </w:t>
            </w:r>
            <w:r w:rsidR="00121202">
              <w:rPr>
                <w:rFonts w:ascii="Comic Sans MS" w:hAnsi="Comic Sans MS"/>
                <w:sz w:val="20"/>
                <w:szCs w:val="20"/>
              </w:rPr>
              <w:t>advice to assessors as required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21202" w:rsidRDefault="00121202" w:rsidP="001212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05FB" w:rsidRPr="00EF4EEC" w:rsidRDefault="00264336" w:rsidP="001212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1205FB" w:rsidRPr="00EF4EEC">
              <w:rPr>
                <w:rFonts w:ascii="Comic Sans MS" w:hAnsi="Comic Sans MS"/>
                <w:sz w:val="20"/>
                <w:szCs w:val="20"/>
              </w:rPr>
              <w:t>In the event of an internal assessment appeal, or suspected malpractice, the internal verifier can provide a second opinion.</w:t>
            </w:r>
          </w:p>
        </w:tc>
        <w:tc>
          <w:tcPr>
            <w:tcW w:w="2726" w:type="dxa"/>
          </w:tcPr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All teaching staff</w:t>
            </w:r>
          </w:p>
          <w:p w:rsidR="001205FB" w:rsidRPr="00EF4EEC" w:rsidRDefault="001205FB" w:rsidP="001C36A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202" w:rsidRDefault="00264336" w:rsidP="001212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1205FB" w:rsidRPr="00EF4EEC" w:rsidRDefault="001205FB" w:rsidP="00121202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SQA Co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EF4EEC">
              <w:rPr>
                <w:rFonts w:ascii="Comic Sans MS" w:hAnsi="Comic Sans MS"/>
                <w:sz w:val="20"/>
                <w:szCs w:val="20"/>
              </w:rPr>
              <w:t>ordinator</w:t>
            </w:r>
          </w:p>
        </w:tc>
        <w:tc>
          <w:tcPr>
            <w:tcW w:w="3086" w:type="dxa"/>
          </w:tcPr>
          <w:p w:rsidR="001205FB" w:rsidRPr="00EF4EEC" w:rsidRDefault="001205FB" w:rsidP="009D5CDD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None required for queries which are easily resolved. If wider discussion or action required, discuss and record at on</w:t>
            </w:r>
            <w:r w:rsidR="00121202">
              <w:rPr>
                <w:rFonts w:ascii="Comic Sans MS" w:hAnsi="Comic Sans MS"/>
                <w:sz w:val="20"/>
                <w:szCs w:val="20"/>
              </w:rPr>
              <w:t>-going standardisation meetings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  <w:r w:rsidR="009D5CDD">
              <w:rPr>
                <w:rFonts w:ascii="Comic Sans MS" w:hAnsi="Comic Sans MS"/>
                <w:sz w:val="20"/>
                <w:szCs w:val="20"/>
              </w:rPr>
              <w:br/>
            </w:r>
            <w:r w:rsidR="00121202">
              <w:rPr>
                <w:rFonts w:ascii="Comic Sans MS" w:hAnsi="Comic Sans MS"/>
                <w:sz w:val="20"/>
                <w:szCs w:val="20"/>
              </w:rPr>
              <w:br/>
            </w:r>
            <w:r w:rsidRPr="00EF4EEC">
              <w:rPr>
                <w:rFonts w:ascii="Comic Sans MS" w:hAnsi="Comic Sans MS"/>
                <w:sz w:val="20"/>
                <w:szCs w:val="20"/>
              </w:rPr>
              <w:t>Log of any internal assessment appeals and cases of suspected malpract</w:t>
            </w:r>
            <w:r w:rsidR="007F7E6E">
              <w:rPr>
                <w:rFonts w:ascii="Comic Sans MS" w:hAnsi="Comic Sans MS"/>
                <w:sz w:val="20"/>
                <w:szCs w:val="20"/>
              </w:rPr>
              <w:t>ice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  <w:r w:rsidR="009D5CDD">
              <w:rPr>
                <w:rFonts w:ascii="Comic Sans MS" w:hAnsi="Comic Sans MS"/>
                <w:sz w:val="20"/>
                <w:szCs w:val="20"/>
              </w:rPr>
              <w:br/>
            </w:r>
            <w:r w:rsidRPr="00EF4EEC">
              <w:rPr>
                <w:rFonts w:ascii="Comic Sans MS" w:hAnsi="Comic Sans MS"/>
                <w:sz w:val="20"/>
                <w:szCs w:val="20"/>
              </w:rPr>
              <w:t>Records of any investigations and the outcomes of these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  <w:tr w:rsidR="00F7197D" w:rsidRPr="008F5065" w:rsidTr="007F7E6E">
        <w:tc>
          <w:tcPr>
            <w:tcW w:w="2834" w:type="dxa"/>
          </w:tcPr>
          <w:p w:rsidR="00F7197D" w:rsidRPr="008F5065" w:rsidRDefault="00956BB4" w:rsidP="001205FB">
            <w:pPr>
              <w:pStyle w:val="Tabletextheading"/>
            </w:pPr>
            <w:r w:rsidRPr="008F5065">
              <w:t>Post-delivery</w:t>
            </w:r>
          </w:p>
        </w:tc>
        <w:tc>
          <w:tcPr>
            <w:tcW w:w="2944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2726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3086" w:type="dxa"/>
          </w:tcPr>
          <w:p w:rsidR="00F7197D" w:rsidRPr="008F5065" w:rsidRDefault="007C2D7C" w:rsidP="008F5065">
            <w:pPr>
              <w:pStyle w:val="tabletext"/>
            </w:pPr>
          </w:p>
        </w:tc>
        <w:tc>
          <w:tcPr>
            <w:tcW w:w="2584" w:type="dxa"/>
          </w:tcPr>
          <w:p w:rsidR="00F7197D" w:rsidRPr="008F5065" w:rsidRDefault="007C2D7C" w:rsidP="008F5065">
            <w:pPr>
              <w:pStyle w:val="tabletext"/>
            </w:pPr>
          </w:p>
        </w:tc>
      </w:tr>
      <w:tr w:rsidR="001205FB" w:rsidRPr="008F5065" w:rsidTr="007F7E6E">
        <w:tc>
          <w:tcPr>
            <w:tcW w:w="2834" w:type="dxa"/>
          </w:tcPr>
          <w:p w:rsidR="001205FB" w:rsidRPr="008F5065" w:rsidRDefault="001205FB" w:rsidP="008F5065">
            <w:pPr>
              <w:pStyle w:val="tabletext"/>
            </w:pPr>
            <w:r w:rsidRPr="008F5065">
              <w:t>Reflecting on internal assessment and verification and planning for next session</w:t>
            </w:r>
          </w:p>
        </w:tc>
        <w:tc>
          <w:tcPr>
            <w:tcW w:w="2944" w:type="dxa"/>
          </w:tcPr>
          <w:p w:rsidR="007F7E6E" w:rsidRDefault="001205FB" w:rsidP="001C36A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A588B">
              <w:rPr>
                <w:rFonts w:ascii="Comic Sans MS" w:hAnsi="Comic Sans MS" w:cs="Arial"/>
                <w:sz w:val="20"/>
                <w:szCs w:val="20"/>
              </w:rPr>
              <w:t>Final standardisation meeting held in</w:t>
            </w:r>
            <w:r w:rsidR="007F7E6E">
              <w:rPr>
                <w:rFonts w:ascii="Comic Sans MS" w:hAnsi="Comic Sans MS" w:cs="Arial"/>
                <w:sz w:val="20"/>
                <w:szCs w:val="20"/>
              </w:rPr>
              <w:t xml:space="preserve"> June, to review whole session</w:t>
            </w:r>
            <w:r w:rsidR="009D5CDD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1205FB" w:rsidRPr="00AA588B" w:rsidRDefault="001205FB" w:rsidP="001C36A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A588B">
              <w:rPr>
                <w:rFonts w:ascii="Comic Sans MS" w:hAnsi="Comic Sans MS" w:cs="Arial"/>
                <w:sz w:val="20"/>
                <w:szCs w:val="20"/>
              </w:rPr>
              <w:t>Actions agreed for any changes for next session</w:t>
            </w:r>
            <w:r w:rsidR="009D5CDD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2726" w:type="dxa"/>
          </w:tcPr>
          <w:p w:rsidR="007F7E6E" w:rsidRDefault="001205FB" w:rsidP="00264336">
            <w:pPr>
              <w:rPr>
                <w:rFonts w:ascii="Comic Sans MS" w:hAnsi="Comic Sans MS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Principal Teacher</w:t>
            </w:r>
          </w:p>
          <w:p w:rsidR="001205FB" w:rsidRPr="00AA588B" w:rsidRDefault="001205FB" w:rsidP="0026433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F4EEC">
              <w:rPr>
                <w:rFonts w:ascii="Comic Sans MS" w:hAnsi="Comic Sans MS"/>
                <w:sz w:val="20"/>
                <w:szCs w:val="20"/>
              </w:rPr>
              <w:t>All teaching staff</w:t>
            </w:r>
          </w:p>
        </w:tc>
        <w:tc>
          <w:tcPr>
            <w:tcW w:w="3086" w:type="dxa"/>
          </w:tcPr>
          <w:p w:rsidR="001205FB" w:rsidRPr="00AA588B" w:rsidRDefault="001205FB" w:rsidP="001C36A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A588B">
              <w:rPr>
                <w:rFonts w:ascii="Comic Sans MS" w:hAnsi="Comic Sans MS"/>
                <w:sz w:val="20"/>
                <w:szCs w:val="20"/>
              </w:rPr>
              <w:t>Pro forma for recording notes and action points from standardisation meetings</w:t>
            </w:r>
            <w:r w:rsidR="009D5CD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84" w:type="dxa"/>
          </w:tcPr>
          <w:p w:rsidR="001205FB" w:rsidRPr="008F5065" w:rsidRDefault="001205FB" w:rsidP="008F5065">
            <w:pPr>
              <w:pStyle w:val="tabletext"/>
            </w:pPr>
          </w:p>
        </w:tc>
      </w:tr>
    </w:tbl>
    <w:p w:rsidR="00C8632B" w:rsidRPr="00C8632B" w:rsidRDefault="00C8632B" w:rsidP="00264336"/>
    <w:sectPr w:rsidR="00C8632B" w:rsidRPr="00C8632B" w:rsidSect="009D5CDD">
      <w:headerReference w:type="default" r:id="rId7"/>
      <w:footerReference w:type="default" r:id="rId8"/>
      <w:pgSz w:w="16839" w:h="11907" w:orient="landscape" w:code="9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65" w:rsidRDefault="008F5065" w:rsidP="00B1646E">
      <w:r>
        <w:separator/>
      </w:r>
    </w:p>
  </w:endnote>
  <w:endnote w:type="continuationSeparator" w:id="0">
    <w:p w:rsidR="008F5065" w:rsidRDefault="008F5065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458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6F4" w:rsidRPr="009D5CDD" w:rsidRDefault="009D5CDD" w:rsidP="009D5CDD">
        <w:pPr>
          <w:pStyle w:val="Footer"/>
        </w:pPr>
        <w:r w:rsidRPr="009D5CDD">
          <w:t>Internal Verification Self-assessment and Evidence Log</w:t>
        </w:r>
        <w:r>
          <w:tab/>
        </w:r>
        <w:r w:rsidR="008F5065">
          <w:fldChar w:fldCharType="begin"/>
        </w:r>
        <w:r w:rsidR="008F5065">
          <w:instrText xml:space="preserve"> PAGE   \* MERGEFORMAT </w:instrText>
        </w:r>
        <w:r w:rsidR="008F5065">
          <w:fldChar w:fldCharType="separate"/>
        </w:r>
        <w:r w:rsidR="007C2D7C">
          <w:rPr>
            <w:noProof/>
          </w:rPr>
          <w:t>1</w:t>
        </w:r>
        <w:r w:rsidR="008F506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65" w:rsidRDefault="008F5065" w:rsidP="00B1646E">
      <w:r>
        <w:separator/>
      </w:r>
    </w:p>
  </w:footnote>
  <w:footnote w:type="continuationSeparator" w:id="0">
    <w:p w:rsidR="008F5065" w:rsidRDefault="008F5065" w:rsidP="00B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B4" w:rsidRPr="00956BB4" w:rsidRDefault="00956BB4">
    <w:pPr>
      <w:pStyle w:val="Header"/>
      <w:rPr>
        <w:lang w:val="en-GB"/>
      </w:rPr>
    </w:pPr>
    <w:r w:rsidRPr="00842335">
      <w:rPr>
        <w:lang w:val="en-GB"/>
      </w:rPr>
      <w:t>New National Qualifications — Internal Verification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CE4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06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C0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02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729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A6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0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42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7A6761E"/>
    <w:lvl w:ilvl="0">
      <w:numFmt w:val="bullet"/>
      <w:lvlText w:val="*"/>
      <w:lvlJc w:val="left"/>
    </w:lvl>
  </w:abstractNum>
  <w:abstractNum w:abstractNumId="11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91730"/>
    <w:multiLevelType w:val="hybridMultilevel"/>
    <w:tmpl w:val="8AD0E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8028BF"/>
    <w:multiLevelType w:val="hybridMultilevel"/>
    <w:tmpl w:val="E74CD2E8"/>
    <w:lvl w:ilvl="0" w:tplc="B6C66DCA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970B3"/>
    <w:multiLevelType w:val="multilevel"/>
    <w:tmpl w:val="A22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29443FE3"/>
    <w:multiLevelType w:val="singleLevel"/>
    <w:tmpl w:val="71AEC0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0D23FA"/>
    <w:multiLevelType w:val="singleLevel"/>
    <w:tmpl w:val="F4AC085A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EBA60F4"/>
    <w:multiLevelType w:val="hybridMultilevel"/>
    <w:tmpl w:val="611628AA"/>
    <w:lvl w:ilvl="0" w:tplc="37C4A8C0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87CE4"/>
    <w:multiLevelType w:val="multilevel"/>
    <w:tmpl w:val="0D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B33702"/>
    <w:multiLevelType w:val="hybridMultilevel"/>
    <w:tmpl w:val="16B0A632"/>
    <w:lvl w:ilvl="0" w:tplc="577452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2609"/>
    <w:multiLevelType w:val="hybridMultilevel"/>
    <w:tmpl w:val="AF0A9774"/>
    <w:lvl w:ilvl="0" w:tplc="1074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B7848"/>
    <w:multiLevelType w:val="hybridMultilevel"/>
    <w:tmpl w:val="60A86E0A"/>
    <w:lvl w:ilvl="0" w:tplc="7798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F3A99"/>
    <w:multiLevelType w:val="multilevel"/>
    <w:tmpl w:val="617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B3423"/>
    <w:multiLevelType w:val="hybridMultilevel"/>
    <w:tmpl w:val="DB909D1E"/>
    <w:lvl w:ilvl="0" w:tplc="08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0666B"/>
    <w:multiLevelType w:val="hybridMultilevel"/>
    <w:tmpl w:val="A622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8756C"/>
    <w:multiLevelType w:val="hybridMultilevel"/>
    <w:tmpl w:val="A4BEAAE6"/>
    <w:lvl w:ilvl="0" w:tplc="08090001">
      <w:start w:val="1"/>
      <w:numFmt w:val="bullet"/>
      <w:pStyle w:val="TableTheme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4D8A"/>
    <w:multiLevelType w:val="hybridMultilevel"/>
    <w:tmpl w:val="ED5EDE32"/>
    <w:lvl w:ilvl="0" w:tplc="DAACB2D6">
      <w:start w:val="1"/>
      <w:numFmt w:val="bullet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5C5F"/>
    <w:multiLevelType w:val="hybridMultilevel"/>
    <w:tmpl w:val="E7EAC38E"/>
    <w:lvl w:ilvl="0" w:tplc="6D9E9D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8"/>
  </w:num>
  <w:num w:numId="3">
    <w:abstractNumId w:val="12"/>
  </w:num>
  <w:num w:numId="4">
    <w:abstractNumId w:val="32"/>
  </w:num>
  <w:num w:numId="5">
    <w:abstractNumId w:val="27"/>
  </w:num>
  <w:num w:numId="6">
    <w:abstractNumId w:val="11"/>
  </w:num>
  <w:num w:numId="7">
    <w:abstractNumId w:val="13"/>
  </w:num>
  <w:num w:numId="8">
    <w:abstractNumId w:val="29"/>
  </w:num>
  <w:num w:numId="9">
    <w:abstractNumId w:val="33"/>
  </w:num>
  <w:num w:numId="10">
    <w:abstractNumId w:val="21"/>
  </w:num>
  <w:num w:numId="11">
    <w:abstractNumId w:val="34"/>
  </w:num>
  <w:num w:numId="12">
    <w:abstractNumId w:val="24"/>
  </w:num>
  <w:num w:numId="13">
    <w:abstractNumId w:val="19"/>
  </w:num>
  <w:num w:numId="14">
    <w:abstractNumId w:val="14"/>
  </w:num>
  <w:num w:numId="15">
    <w:abstractNumId w:val="30"/>
  </w:num>
  <w:num w:numId="16">
    <w:abstractNumId w:val="23"/>
  </w:num>
  <w:num w:numId="17">
    <w:abstractNumId w:val="26"/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22"/>
  </w:num>
  <w:num w:numId="23">
    <w:abstractNumId w:val="35"/>
  </w:num>
  <w:num w:numId="24">
    <w:abstractNumId w:val="35"/>
  </w:num>
  <w:num w:numId="25">
    <w:abstractNumId w:val="35"/>
  </w:num>
  <w:num w:numId="26">
    <w:abstractNumId w:val="31"/>
  </w:num>
  <w:num w:numId="27">
    <w:abstractNumId w:val="15"/>
  </w:num>
  <w:num w:numId="28">
    <w:abstractNumId w:val="36"/>
  </w:num>
  <w:num w:numId="29">
    <w:abstractNumId w:val="22"/>
  </w:num>
  <w:num w:numId="30">
    <w:abstractNumId w:val="22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5"/>
    <w:rsid w:val="00001746"/>
    <w:rsid w:val="000045AB"/>
    <w:rsid w:val="00004B2E"/>
    <w:rsid w:val="0000639E"/>
    <w:rsid w:val="00006467"/>
    <w:rsid w:val="00021FA3"/>
    <w:rsid w:val="000234AC"/>
    <w:rsid w:val="0002679B"/>
    <w:rsid w:val="00030CFF"/>
    <w:rsid w:val="0004523E"/>
    <w:rsid w:val="00047504"/>
    <w:rsid w:val="000534AD"/>
    <w:rsid w:val="00061952"/>
    <w:rsid w:val="000622DB"/>
    <w:rsid w:val="00065FDB"/>
    <w:rsid w:val="00074322"/>
    <w:rsid w:val="00074B08"/>
    <w:rsid w:val="00082699"/>
    <w:rsid w:val="000918F2"/>
    <w:rsid w:val="00093FEE"/>
    <w:rsid w:val="00094591"/>
    <w:rsid w:val="00097E8C"/>
    <w:rsid w:val="000A00B9"/>
    <w:rsid w:val="000A43BA"/>
    <w:rsid w:val="000A645E"/>
    <w:rsid w:val="000B3CAE"/>
    <w:rsid w:val="000B6F06"/>
    <w:rsid w:val="000C62AA"/>
    <w:rsid w:val="000D2B37"/>
    <w:rsid w:val="000D480A"/>
    <w:rsid w:val="000D77EA"/>
    <w:rsid w:val="000E70B7"/>
    <w:rsid w:val="000F5631"/>
    <w:rsid w:val="000F5EA2"/>
    <w:rsid w:val="001205FB"/>
    <w:rsid w:val="00120959"/>
    <w:rsid w:val="00121202"/>
    <w:rsid w:val="0012186C"/>
    <w:rsid w:val="00126A47"/>
    <w:rsid w:val="001320DF"/>
    <w:rsid w:val="0013256A"/>
    <w:rsid w:val="001371EE"/>
    <w:rsid w:val="00140EF6"/>
    <w:rsid w:val="00141079"/>
    <w:rsid w:val="001416E6"/>
    <w:rsid w:val="00150E95"/>
    <w:rsid w:val="00152A33"/>
    <w:rsid w:val="001557A4"/>
    <w:rsid w:val="00155988"/>
    <w:rsid w:val="0015727C"/>
    <w:rsid w:val="0016300E"/>
    <w:rsid w:val="00164897"/>
    <w:rsid w:val="00185441"/>
    <w:rsid w:val="001A0186"/>
    <w:rsid w:val="001A4BD6"/>
    <w:rsid w:val="001D1D62"/>
    <w:rsid w:val="001E134C"/>
    <w:rsid w:val="002040BE"/>
    <w:rsid w:val="00204FD9"/>
    <w:rsid w:val="00230020"/>
    <w:rsid w:val="002324CC"/>
    <w:rsid w:val="002353FF"/>
    <w:rsid w:val="002417C0"/>
    <w:rsid w:val="00253721"/>
    <w:rsid w:val="00264336"/>
    <w:rsid w:val="00272C44"/>
    <w:rsid w:val="00274906"/>
    <w:rsid w:val="00283123"/>
    <w:rsid w:val="00287821"/>
    <w:rsid w:val="00294698"/>
    <w:rsid w:val="002D1B2B"/>
    <w:rsid w:val="002D5928"/>
    <w:rsid w:val="002E0B1C"/>
    <w:rsid w:val="002F65EC"/>
    <w:rsid w:val="00300A64"/>
    <w:rsid w:val="00316E5C"/>
    <w:rsid w:val="003205E9"/>
    <w:rsid w:val="00320E2A"/>
    <w:rsid w:val="00321384"/>
    <w:rsid w:val="003247F2"/>
    <w:rsid w:val="00325339"/>
    <w:rsid w:val="00327EE4"/>
    <w:rsid w:val="00347D6F"/>
    <w:rsid w:val="00353642"/>
    <w:rsid w:val="00355C02"/>
    <w:rsid w:val="00362745"/>
    <w:rsid w:val="0036306B"/>
    <w:rsid w:val="003679EF"/>
    <w:rsid w:val="00372328"/>
    <w:rsid w:val="00386659"/>
    <w:rsid w:val="00390952"/>
    <w:rsid w:val="003A59FC"/>
    <w:rsid w:val="003A6C06"/>
    <w:rsid w:val="003A7E71"/>
    <w:rsid w:val="003B42D4"/>
    <w:rsid w:val="003C0D65"/>
    <w:rsid w:val="003C0F59"/>
    <w:rsid w:val="003C482C"/>
    <w:rsid w:val="003C64A3"/>
    <w:rsid w:val="003E4359"/>
    <w:rsid w:val="003F0753"/>
    <w:rsid w:val="003F381D"/>
    <w:rsid w:val="0040128F"/>
    <w:rsid w:val="004077E4"/>
    <w:rsid w:val="00410C5A"/>
    <w:rsid w:val="00415AD5"/>
    <w:rsid w:val="004169EE"/>
    <w:rsid w:val="004207AA"/>
    <w:rsid w:val="00421F27"/>
    <w:rsid w:val="004244E8"/>
    <w:rsid w:val="0043032A"/>
    <w:rsid w:val="00436EE9"/>
    <w:rsid w:val="004505B7"/>
    <w:rsid w:val="00456822"/>
    <w:rsid w:val="00456F59"/>
    <w:rsid w:val="00471495"/>
    <w:rsid w:val="00475653"/>
    <w:rsid w:val="00476D4E"/>
    <w:rsid w:val="00480BE9"/>
    <w:rsid w:val="00493CA1"/>
    <w:rsid w:val="00496FA4"/>
    <w:rsid w:val="0049788D"/>
    <w:rsid w:val="004A033A"/>
    <w:rsid w:val="004A31C5"/>
    <w:rsid w:val="004B0862"/>
    <w:rsid w:val="004B57AD"/>
    <w:rsid w:val="004D4449"/>
    <w:rsid w:val="004D476C"/>
    <w:rsid w:val="004D4D68"/>
    <w:rsid w:val="004D666C"/>
    <w:rsid w:val="004D7317"/>
    <w:rsid w:val="004E3B00"/>
    <w:rsid w:val="004F0B2B"/>
    <w:rsid w:val="0050710C"/>
    <w:rsid w:val="00513D67"/>
    <w:rsid w:val="00514091"/>
    <w:rsid w:val="00533A75"/>
    <w:rsid w:val="00540F98"/>
    <w:rsid w:val="00547409"/>
    <w:rsid w:val="00557C36"/>
    <w:rsid w:val="00564505"/>
    <w:rsid w:val="00565D53"/>
    <w:rsid w:val="0057349F"/>
    <w:rsid w:val="005760D5"/>
    <w:rsid w:val="005A5EAF"/>
    <w:rsid w:val="005C1D15"/>
    <w:rsid w:val="005D701D"/>
    <w:rsid w:val="005E5058"/>
    <w:rsid w:val="005E679F"/>
    <w:rsid w:val="005F099E"/>
    <w:rsid w:val="00605C31"/>
    <w:rsid w:val="00634CD7"/>
    <w:rsid w:val="00640E56"/>
    <w:rsid w:val="00641A08"/>
    <w:rsid w:val="00642943"/>
    <w:rsid w:val="00643749"/>
    <w:rsid w:val="00644D37"/>
    <w:rsid w:val="00651BA1"/>
    <w:rsid w:val="00656892"/>
    <w:rsid w:val="0067465E"/>
    <w:rsid w:val="006846B5"/>
    <w:rsid w:val="00692E65"/>
    <w:rsid w:val="006A2C22"/>
    <w:rsid w:val="006A69B5"/>
    <w:rsid w:val="006B0523"/>
    <w:rsid w:val="006B32D0"/>
    <w:rsid w:val="006C7201"/>
    <w:rsid w:val="006D2B36"/>
    <w:rsid w:val="006D7D95"/>
    <w:rsid w:val="006E26AF"/>
    <w:rsid w:val="006E4A12"/>
    <w:rsid w:val="006F3DEA"/>
    <w:rsid w:val="00706F8F"/>
    <w:rsid w:val="0070712F"/>
    <w:rsid w:val="00711183"/>
    <w:rsid w:val="007141FE"/>
    <w:rsid w:val="00716816"/>
    <w:rsid w:val="00716D6A"/>
    <w:rsid w:val="00732279"/>
    <w:rsid w:val="0074529E"/>
    <w:rsid w:val="007511F4"/>
    <w:rsid w:val="0076241F"/>
    <w:rsid w:val="00764AA9"/>
    <w:rsid w:val="00774064"/>
    <w:rsid w:val="0079158C"/>
    <w:rsid w:val="007A667E"/>
    <w:rsid w:val="007B6C50"/>
    <w:rsid w:val="007B6DD7"/>
    <w:rsid w:val="007B7B49"/>
    <w:rsid w:val="007C2D7C"/>
    <w:rsid w:val="007D19B2"/>
    <w:rsid w:val="007D5C6E"/>
    <w:rsid w:val="007E2CFD"/>
    <w:rsid w:val="007F14D8"/>
    <w:rsid w:val="007F1847"/>
    <w:rsid w:val="007F5478"/>
    <w:rsid w:val="007F6661"/>
    <w:rsid w:val="007F7E6E"/>
    <w:rsid w:val="00800C26"/>
    <w:rsid w:val="00801B9E"/>
    <w:rsid w:val="00803296"/>
    <w:rsid w:val="00807B54"/>
    <w:rsid w:val="00817479"/>
    <w:rsid w:val="00821A24"/>
    <w:rsid w:val="00822C4E"/>
    <w:rsid w:val="00830273"/>
    <w:rsid w:val="00831F36"/>
    <w:rsid w:val="00842F6A"/>
    <w:rsid w:val="008460F9"/>
    <w:rsid w:val="00851EB8"/>
    <w:rsid w:val="00852C96"/>
    <w:rsid w:val="008679EA"/>
    <w:rsid w:val="00873A5F"/>
    <w:rsid w:val="0087433F"/>
    <w:rsid w:val="008772AC"/>
    <w:rsid w:val="008804F8"/>
    <w:rsid w:val="00890F66"/>
    <w:rsid w:val="008A3435"/>
    <w:rsid w:val="008A4944"/>
    <w:rsid w:val="008A6732"/>
    <w:rsid w:val="008B35CA"/>
    <w:rsid w:val="008B6C5A"/>
    <w:rsid w:val="008C4526"/>
    <w:rsid w:val="008C6B81"/>
    <w:rsid w:val="008D2F9F"/>
    <w:rsid w:val="008E4EE6"/>
    <w:rsid w:val="008F17CC"/>
    <w:rsid w:val="008F265E"/>
    <w:rsid w:val="008F3007"/>
    <w:rsid w:val="008F5065"/>
    <w:rsid w:val="008F55F3"/>
    <w:rsid w:val="00904F20"/>
    <w:rsid w:val="00920ACF"/>
    <w:rsid w:val="00920FA9"/>
    <w:rsid w:val="00926DE6"/>
    <w:rsid w:val="009277DB"/>
    <w:rsid w:val="009312A5"/>
    <w:rsid w:val="009349D2"/>
    <w:rsid w:val="009378CF"/>
    <w:rsid w:val="00941541"/>
    <w:rsid w:val="0094182E"/>
    <w:rsid w:val="00953252"/>
    <w:rsid w:val="009560E7"/>
    <w:rsid w:val="00956BB4"/>
    <w:rsid w:val="00962303"/>
    <w:rsid w:val="0096536A"/>
    <w:rsid w:val="00972887"/>
    <w:rsid w:val="0097402A"/>
    <w:rsid w:val="00985AB9"/>
    <w:rsid w:val="009B6729"/>
    <w:rsid w:val="009C2041"/>
    <w:rsid w:val="009D0CAC"/>
    <w:rsid w:val="009D5CDD"/>
    <w:rsid w:val="009E40A6"/>
    <w:rsid w:val="009F6681"/>
    <w:rsid w:val="00A17733"/>
    <w:rsid w:val="00A2786D"/>
    <w:rsid w:val="00A30D4E"/>
    <w:rsid w:val="00A318A3"/>
    <w:rsid w:val="00A334CD"/>
    <w:rsid w:val="00A342AA"/>
    <w:rsid w:val="00A46462"/>
    <w:rsid w:val="00A539A0"/>
    <w:rsid w:val="00A540B4"/>
    <w:rsid w:val="00A60B6D"/>
    <w:rsid w:val="00A66D7F"/>
    <w:rsid w:val="00A6728E"/>
    <w:rsid w:val="00A800BB"/>
    <w:rsid w:val="00A908D2"/>
    <w:rsid w:val="00AA4090"/>
    <w:rsid w:val="00AA64DE"/>
    <w:rsid w:val="00AB617A"/>
    <w:rsid w:val="00AC1B95"/>
    <w:rsid w:val="00AC7C18"/>
    <w:rsid w:val="00AE5471"/>
    <w:rsid w:val="00AF0696"/>
    <w:rsid w:val="00AF7F0D"/>
    <w:rsid w:val="00B02B2C"/>
    <w:rsid w:val="00B1136F"/>
    <w:rsid w:val="00B1235B"/>
    <w:rsid w:val="00B15D6A"/>
    <w:rsid w:val="00B1646E"/>
    <w:rsid w:val="00B33D9E"/>
    <w:rsid w:val="00B35A7D"/>
    <w:rsid w:val="00B415B1"/>
    <w:rsid w:val="00B45B96"/>
    <w:rsid w:val="00B45FED"/>
    <w:rsid w:val="00B504B5"/>
    <w:rsid w:val="00B516BB"/>
    <w:rsid w:val="00B6194C"/>
    <w:rsid w:val="00B62223"/>
    <w:rsid w:val="00B622EA"/>
    <w:rsid w:val="00B66187"/>
    <w:rsid w:val="00B672D2"/>
    <w:rsid w:val="00B71218"/>
    <w:rsid w:val="00B71F9F"/>
    <w:rsid w:val="00B82F97"/>
    <w:rsid w:val="00B87126"/>
    <w:rsid w:val="00B922B2"/>
    <w:rsid w:val="00BB4CB3"/>
    <w:rsid w:val="00BB50A0"/>
    <w:rsid w:val="00BC44A5"/>
    <w:rsid w:val="00BD3686"/>
    <w:rsid w:val="00BD6F5D"/>
    <w:rsid w:val="00BE1961"/>
    <w:rsid w:val="00BE4B87"/>
    <w:rsid w:val="00BF2ED5"/>
    <w:rsid w:val="00C00933"/>
    <w:rsid w:val="00C056A3"/>
    <w:rsid w:val="00C1646F"/>
    <w:rsid w:val="00C2162B"/>
    <w:rsid w:val="00C340A4"/>
    <w:rsid w:val="00C429AE"/>
    <w:rsid w:val="00C47418"/>
    <w:rsid w:val="00C47821"/>
    <w:rsid w:val="00C6204B"/>
    <w:rsid w:val="00C64011"/>
    <w:rsid w:val="00C71183"/>
    <w:rsid w:val="00C80682"/>
    <w:rsid w:val="00C8632B"/>
    <w:rsid w:val="00C97B8B"/>
    <w:rsid w:val="00CA1285"/>
    <w:rsid w:val="00CB15C1"/>
    <w:rsid w:val="00CD3730"/>
    <w:rsid w:val="00CD64A8"/>
    <w:rsid w:val="00CE2EEC"/>
    <w:rsid w:val="00CE5ABF"/>
    <w:rsid w:val="00CE6046"/>
    <w:rsid w:val="00CF38A8"/>
    <w:rsid w:val="00CF7E47"/>
    <w:rsid w:val="00D0715B"/>
    <w:rsid w:val="00D0768C"/>
    <w:rsid w:val="00D12AE9"/>
    <w:rsid w:val="00D22E27"/>
    <w:rsid w:val="00D3113D"/>
    <w:rsid w:val="00D42AB1"/>
    <w:rsid w:val="00D462FB"/>
    <w:rsid w:val="00D5102A"/>
    <w:rsid w:val="00D5247D"/>
    <w:rsid w:val="00D55CEC"/>
    <w:rsid w:val="00D6414E"/>
    <w:rsid w:val="00D66EAD"/>
    <w:rsid w:val="00D71311"/>
    <w:rsid w:val="00D77526"/>
    <w:rsid w:val="00D83E3E"/>
    <w:rsid w:val="00D865C2"/>
    <w:rsid w:val="00D86EF8"/>
    <w:rsid w:val="00D93542"/>
    <w:rsid w:val="00DB3532"/>
    <w:rsid w:val="00DB57AC"/>
    <w:rsid w:val="00DC1876"/>
    <w:rsid w:val="00DE4295"/>
    <w:rsid w:val="00DF10B0"/>
    <w:rsid w:val="00DF1974"/>
    <w:rsid w:val="00DF42EA"/>
    <w:rsid w:val="00E02355"/>
    <w:rsid w:val="00E20737"/>
    <w:rsid w:val="00E228B3"/>
    <w:rsid w:val="00E2612F"/>
    <w:rsid w:val="00E5173D"/>
    <w:rsid w:val="00E52210"/>
    <w:rsid w:val="00E54862"/>
    <w:rsid w:val="00E55722"/>
    <w:rsid w:val="00E6189D"/>
    <w:rsid w:val="00E62323"/>
    <w:rsid w:val="00E62E2F"/>
    <w:rsid w:val="00E63ABF"/>
    <w:rsid w:val="00E66721"/>
    <w:rsid w:val="00E72C79"/>
    <w:rsid w:val="00E817BB"/>
    <w:rsid w:val="00E831F7"/>
    <w:rsid w:val="00E85BEF"/>
    <w:rsid w:val="00E90870"/>
    <w:rsid w:val="00E968A2"/>
    <w:rsid w:val="00EB686E"/>
    <w:rsid w:val="00EC1DD1"/>
    <w:rsid w:val="00ED310D"/>
    <w:rsid w:val="00EF3FE1"/>
    <w:rsid w:val="00EF6414"/>
    <w:rsid w:val="00EF65C0"/>
    <w:rsid w:val="00F01384"/>
    <w:rsid w:val="00F056F4"/>
    <w:rsid w:val="00F1356F"/>
    <w:rsid w:val="00F173FE"/>
    <w:rsid w:val="00F210C6"/>
    <w:rsid w:val="00F307FC"/>
    <w:rsid w:val="00F30E75"/>
    <w:rsid w:val="00F3214C"/>
    <w:rsid w:val="00F40428"/>
    <w:rsid w:val="00F53A21"/>
    <w:rsid w:val="00F63CF7"/>
    <w:rsid w:val="00F65B30"/>
    <w:rsid w:val="00F77C92"/>
    <w:rsid w:val="00F84469"/>
    <w:rsid w:val="00F927A6"/>
    <w:rsid w:val="00F97A65"/>
    <w:rsid w:val="00FA313E"/>
    <w:rsid w:val="00FB0F90"/>
    <w:rsid w:val="00FB2F75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477418"/>
  <w15:docId w15:val="{8599250B-2D7A-4375-9295-89DE018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DD"/>
    <w:pPr>
      <w:tabs>
        <w:tab w:val="left" w:pos="357"/>
        <w:tab w:val="left" w:pos="567"/>
      </w:tabs>
      <w:spacing w:after="280" w:line="280" w:lineRule="exact"/>
    </w:pPr>
    <w:rPr>
      <w:rFonts w:ascii="Arial" w:eastAsia="Times New Roman" w:hAnsi="Arial" w:cs="Times New Roman"/>
      <w:szCs w:val="24"/>
      <w:lang w:val="en-GB" w:eastAsia="en-GB" w:bidi="ar-SA"/>
    </w:rPr>
  </w:style>
  <w:style w:type="paragraph" w:styleId="Heading1">
    <w:name w:val="heading 1"/>
    <w:next w:val="Normal"/>
    <w:link w:val="Heading1Char"/>
    <w:qFormat/>
    <w:rsid w:val="009D5CDD"/>
    <w:pPr>
      <w:keepNext/>
      <w:tabs>
        <w:tab w:val="left" w:pos="0"/>
      </w:tabs>
      <w:spacing w:after="240" w:line="240" w:lineRule="auto"/>
      <w:outlineLvl w:val="0"/>
    </w:pPr>
    <w:rPr>
      <w:rFonts w:ascii="Arial" w:hAnsi="Arial"/>
      <w:b/>
      <w:kern w:val="28"/>
      <w:sz w:val="48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D5CDD"/>
    <w:pPr>
      <w:spacing w:before="480" w:after="6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9D5CDD"/>
    <w:pPr>
      <w:tabs>
        <w:tab w:val="left" w:pos="380"/>
      </w:tabs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9D5CDD"/>
    <w:pPr>
      <w:keepLines/>
      <w:spacing w:before="280"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9D5CDD"/>
    <w:pPr>
      <w:keepNext/>
      <w:spacing w:before="120" w:after="60"/>
      <w:outlineLvl w:val="4"/>
    </w:pPr>
    <w:rPr>
      <w:rFonts w:eastAsiaTheme="minorEastAsia" w:cstheme="minorBidi"/>
      <w:b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5C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D5C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5C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D5C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DD"/>
    <w:rPr>
      <w:rFonts w:ascii="Tahoma" w:eastAsia="Times New Roman" w:hAnsi="Tahoma" w:cs="Tahoma"/>
      <w:sz w:val="16"/>
      <w:szCs w:val="16"/>
      <w:lang w:val="en-GB" w:eastAsia="en-GB" w:bidi="ar-SA"/>
    </w:rPr>
  </w:style>
  <w:style w:type="paragraph" w:styleId="ListParagraph">
    <w:name w:val="List Paragraph"/>
    <w:basedOn w:val="Normal"/>
    <w:uiPriority w:val="34"/>
    <w:rsid w:val="009D5C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5C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5CDD"/>
    <w:pPr>
      <w:tabs>
        <w:tab w:val="clear" w:pos="567"/>
      </w:tabs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5CDD"/>
    <w:rPr>
      <w:rFonts w:ascii="Arial" w:eastAsia="Times New Roman" w:hAnsi="Arial" w:cs="Times New Roman"/>
      <w:noProof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DD"/>
    <w:rPr>
      <w:rFonts w:ascii="Arial" w:eastAsia="Times New Roman" w:hAnsi="Arial" w:cs="Times New Roman"/>
      <w:b/>
      <w:bCs/>
      <w:noProof/>
      <w:sz w:val="20"/>
      <w:szCs w:val="20"/>
      <w:lang w:val="en-GB" w:eastAsia="en-GB" w:bidi="ar-SA"/>
    </w:rPr>
  </w:style>
  <w:style w:type="paragraph" w:styleId="Revision">
    <w:name w:val="Revision"/>
    <w:hidden/>
    <w:uiPriority w:val="99"/>
    <w:semiHidden/>
    <w:rsid w:val="009D5CDD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9D5CDD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rsid w:val="009D5CDD"/>
    <w:rPr>
      <w:rFonts w:ascii="Arial" w:eastAsia="Times New Roman" w:hAnsi="Arial" w:cs="Arial"/>
      <w:b/>
      <w:bCs/>
      <w:iCs/>
      <w:szCs w:val="24"/>
      <w:lang w:eastAsia="en-GB"/>
    </w:rPr>
  </w:style>
  <w:style w:type="paragraph" w:styleId="Footer">
    <w:name w:val="footer"/>
    <w:basedOn w:val="Normal"/>
    <w:link w:val="FooterChar"/>
    <w:autoRedefine/>
    <w:uiPriority w:val="99"/>
    <w:rsid w:val="009D5CDD"/>
    <w:pPr>
      <w:tabs>
        <w:tab w:val="clear" w:pos="357"/>
        <w:tab w:val="clear" w:pos="567"/>
        <w:tab w:val="right" w:pos="14034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D5CDD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rsid w:val="009D5CDD"/>
    <w:rPr>
      <w:rFonts w:ascii="Arial" w:hAnsi="Arial"/>
      <w:b/>
      <w:kern w:val="28"/>
      <w:sz w:val="48"/>
      <w:szCs w:val="20"/>
      <w:lang w:val="en-GB"/>
    </w:rPr>
  </w:style>
  <w:style w:type="paragraph" w:styleId="BodyText2">
    <w:name w:val="Body Text 2"/>
    <w:basedOn w:val="Normal"/>
    <w:link w:val="BodyText2Char"/>
    <w:rsid w:val="009D5CDD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9D5CDD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9D5C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5CDD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9D5C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D5CDD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9D5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5CDD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D5CDD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9D5CDD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9D5CDD"/>
    <w:rPr>
      <w:rFonts w:ascii="Arial" w:hAnsi="Arial"/>
      <w:b/>
      <w:kern w:val="28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rsid w:val="009D5CDD"/>
    <w:rPr>
      <w:rFonts w:ascii="Arial" w:hAnsi="Arial"/>
      <w:b/>
      <w:kern w:val="28"/>
      <w:sz w:val="24"/>
      <w:lang w:val="en-GB"/>
    </w:rPr>
  </w:style>
  <w:style w:type="table" w:styleId="TableTheme">
    <w:name w:val="Table Theme"/>
    <w:basedOn w:val="TableNormal"/>
    <w:semiHidden/>
    <w:rsid w:val="009D5CDD"/>
    <w:pPr>
      <w:numPr>
        <w:numId w:val="11"/>
      </w:numPr>
      <w:tabs>
        <w:tab w:val="clear" w:pos="380"/>
      </w:tabs>
      <w:spacing w:before="60" w:after="60" w:line="320" w:lineRule="exact"/>
      <w:ind w:left="0" w:firstLine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9D5CD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D5CDD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9D5CDD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9D5CDD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9D5CDD"/>
    <w:rPr>
      <w:rFonts w:cs="Verdana"/>
      <w:color w:val="000000"/>
    </w:rPr>
  </w:style>
  <w:style w:type="character" w:styleId="Hyperlink">
    <w:name w:val="Hyperlink"/>
    <w:basedOn w:val="DefaultParagraphFont"/>
    <w:rsid w:val="009D5CDD"/>
    <w:rPr>
      <w:bCs/>
      <w:color w:val="1F497D"/>
      <w:u w:val="single"/>
    </w:rPr>
  </w:style>
  <w:style w:type="paragraph" w:styleId="NormalWeb">
    <w:name w:val="Normal (Web)"/>
    <w:basedOn w:val="Normal"/>
    <w:rsid w:val="009D5CDD"/>
    <w:pPr>
      <w:spacing w:before="100" w:beforeAutospacing="1" w:after="100" w:afterAutospacing="1"/>
    </w:pPr>
  </w:style>
  <w:style w:type="character" w:styleId="Strong">
    <w:name w:val="Strong"/>
    <w:uiPriority w:val="22"/>
    <w:rsid w:val="009D5C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5CD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9D5CDD"/>
    <w:rPr>
      <w:rFonts w:ascii="Arial" w:hAnsi="Arial"/>
      <w:b/>
    </w:rPr>
  </w:style>
  <w:style w:type="paragraph" w:styleId="TOC1">
    <w:name w:val="toc 1"/>
    <w:basedOn w:val="Normal"/>
    <w:next w:val="Normal"/>
    <w:autoRedefine/>
    <w:rsid w:val="009D5CDD"/>
    <w:pPr>
      <w:tabs>
        <w:tab w:val="left" w:pos="6521"/>
      </w:tabs>
      <w:spacing w:before="120" w:after="120"/>
      <w:ind w:left="567" w:hanging="567"/>
    </w:pPr>
    <w:rPr>
      <w:b/>
      <w:bCs/>
      <w:szCs w:val="20"/>
    </w:rPr>
  </w:style>
  <w:style w:type="paragraph" w:customStyle="1" w:styleId="titlepage1">
    <w:name w:val="title page 1"/>
    <w:rsid w:val="009D5CDD"/>
    <w:pPr>
      <w:spacing w:after="280" w:line="240" w:lineRule="auto"/>
    </w:pPr>
    <w:rPr>
      <w:rFonts w:ascii="Arial" w:eastAsia="Times New Roman" w:hAnsi="Arial" w:cs="Arial"/>
      <w:b/>
      <w:bCs/>
      <w:sz w:val="48"/>
      <w:szCs w:val="48"/>
      <w:lang w:val="en-GB" w:eastAsia="en-GB" w:bidi="ar-SA"/>
    </w:rPr>
  </w:style>
  <w:style w:type="paragraph" w:customStyle="1" w:styleId="titlepage2">
    <w:name w:val="title page 2"/>
    <w:basedOn w:val="titlepage1"/>
    <w:rsid w:val="009D5CDD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9D5CDD"/>
    <w:pPr>
      <w:tabs>
        <w:tab w:val="clear" w:pos="357"/>
        <w:tab w:val="left" w:pos="1134"/>
      </w:tabs>
      <w:spacing w:after="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rsid w:val="009D5CDD"/>
    <w:pPr>
      <w:spacing w:before="0"/>
      <w:ind w:left="1134"/>
    </w:pPr>
  </w:style>
  <w:style w:type="paragraph" w:styleId="TOC4">
    <w:name w:val="toc 4"/>
    <w:basedOn w:val="TOC2"/>
    <w:next w:val="Normal"/>
    <w:autoRedefine/>
    <w:uiPriority w:val="39"/>
    <w:rsid w:val="009D5CDD"/>
    <w:pPr>
      <w:spacing w:before="0"/>
      <w:ind w:left="1701"/>
    </w:pPr>
  </w:style>
  <w:style w:type="character" w:styleId="PageNumber">
    <w:name w:val="page number"/>
    <w:basedOn w:val="DefaultParagraphFont"/>
    <w:rsid w:val="009D5CDD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keypoint">
    <w:name w:val="key point"/>
    <w:basedOn w:val="Normal"/>
    <w:rsid w:val="009D5CDD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rFonts w:cs="Arial"/>
      <w:b/>
      <w:bCs/>
      <w:i/>
      <w:iCs/>
      <w:sz w:val="20"/>
      <w:szCs w:val="20"/>
    </w:rPr>
  </w:style>
  <w:style w:type="paragraph" w:customStyle="1" w:styleId="Secondorderbullet">
    <w:name w:val="Second order bullet"/>
    <w:basedOn w:val="Normal"/>
    <w:next w:val="Normal"/>
    <w:rsid w:val="009D5CDD"/>
    <w:pPr>
      <w:numPr>
        <w:numId w:val="27"/>
      </w:numPr>
      <w:tabs>
        <w:tab w:val="clear" w:pos="357"/>
        <w:tab w:val="clear" w:pos="567"/>
      </w:tabs>
      <w:contextualSpacing/>
    </w:pPr>
  </w:style>
  <w:style w:type="paragraph" w:customStyle="1" w:styleId="normaloutdent">
    <w:name w:val="normal outdent"/>
    <w:basedOn w:val="Normal"/>
    <w:rsid w:val="009D5CDD"/>
    <w:pPr>
      <w:tabs>
        <w:tab w:val="left" w:pos="0"/>
      </w:tabs>
      <w:ind w:hanging="1134"/>
    </w:pPr>
  </w:style>
  <w:style w:type="paragraph" w:customStyle="1" w:styleId="tabletext">
    <w:name w:val="table text"/>
    <w:basedOn w:val="Normal"/>
    <w:autoRedefine/>
    <w:rsid w:val="009D5CDD"/>
    <w:pPr>
      <w:spacing w:before="80" w:after="80" w:line="240" w:lineRule="auto"/>
    </w:pPr>
    <w:rPr>
      <w:szCs w:val="20"/>
    </w:rPr>
  </w:style>
  <w:style w:type="paragraph" w:customStyle="1" w:styleId="numberedparas">
    <w:name w:val="numbered paras"/>
    <w:basedOn w:val="Normal"/>
    <w:rsid w:val="009D5CDD"/>
    <w:pPr>
      <w:numPr>
        <w:numId w:val="20"/>
      </w:numPr>
    </w:pPr>
  </w:style>
  <w:style w:type="paragraph" w:customStyle="1" w:styleId="Bullet">
    <w:name w:val="Bullet"/>
    <w:basedOn w:val="Normal"/>
    <w:next w:val="Normal"/>
    <w:rsid w:val="009D5CDD"/>
    <w:pPr>
      <w:numPr>
        <w:numId w:val="22"/>
      </w:numPr>
      <w:tabs>
        <w:tab w:val="clear" w:pos="357"/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9D5CDD"/>
    <w:pPr>
      <w:numPr>
        <w:numId w:val="26"/>
      </w:numPr>
    </w:pPr>
  </w:style>
  <w:style w:type="paragraph" w:customStyle="1" w:styleId="NoSpace">
    <w:name w:val="NoSpace"/>
    <w:basedOn w:val="Normal"/>
    <w:qFormat/>
    <w:rsid w:val="009D5CDD"/>
    <w:pPr>
      <w:spacing w:before="60" w:after="60" w:line="240" w:lineRule="auto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rsid w:val="009D5CDD"/>
    <w:rPr>
      <w:rFonts w:ascii="Arial" w:hAnsi="Arial"/>
      <w:b/>
      <w:kern w:val="28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CDD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CDD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9D5C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CDD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9D5C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5CDD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9D5C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9D5C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9D5C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5CDD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9D5CDD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CDD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9D5CDD"/>
    <w:rPr>
      <w:i/>
      <w:iCs/>
    </w:rPr>
  </w:style>
  <w:style w:type="character" w:styleId="IntenseEmphasis">
    <w:name w:val="Intense Emphasis"/>
    <w:uiPriority w:val="21"/>
    <w:rsid w:val="009D5CDD"/>
    <w:rPr>
      <w:b/>
      <w:bCs/>
    </w:rPr>
  </w:style>
  <w:style w:type="character" w:styleId="SubtleReference">
    <w:name w:val="Subtle Reference"/>
    <w:uiPriority w:val="31"/>
    <w:rsid w:val="009D5CDD"/>
    <w:rPr>
      <w:smallCaps/>
    </w:rPr>
  </w:style>
  <w:style w:type="character" w:styleId="IntenseReference">
    <w:name w:val="Intense Reference"/>
    <w:uiPriority w:val="32"/>
    <w:rsid w:val="009D5CDD"/>
    <w:rPr>
      <w:smallCaps/>
      <w:spacing w:val="5"/>
      <w:u w:val="single"/>
    </w:rPr>
  </w:style>
  <w:style w:type="character" w:styleId="BookTitle">
    <w:name w:val="Book Title"/>
    <w:uiPriority w:val="33"/>
    <w:rsid w:val="009D5C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CD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9D5CDD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D5CDD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9D5CDD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9D5CDD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9D5CDD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5CDD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9D5CDD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9D5CDD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9D5CDD"/>
    <w:pPr>
      <w:ind w:hanging="709"/>
    </w:pPr>
  </w:style>
  <w:style w:type="paragraph" w:customStyle="1" w:styleId="ParagraphBullet">
    <w:name w:val="Paragraph Bullet"/>
    <w:basedOn w:val="Bullet"/>
    <w:qFormat/>
    <w:rsid w:val="009D5CDD"/>
    <w:pPr>
      <w:numPr>
        <w:numId w:val="31"/>
      </w:numPr>
      <w:contextualSpacing w:val="0"/>
    </w:pPr>
  </w:style>
  <w:style w:type="paragraph" w:customStyle="1" w:styleId="Heading4outdent">
    <w:name w:val="Heading 4 outdent"/>
    <w:basedOn w:val="Heading4"/>
    <w:qFormat/>
    <w:rsid w:val="009D5CDD"/>
    <w:pPr>
      <w:ind w:hanging="709"/>
    </w:pPr>
  </w:style>
  <w:style w:type="table" w:styleId="TableGrid">
    <w:name w:val="Table Grid"/>
    <w:basedOn w:val="TableNormal"/>
    <w:uiPriority w:val="59"/>
    <w:rsid w:val="008F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00840\AppData\Roaming\Microsoft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McCormick</dc:creator>
  <cp:lastModifiedBy>Ian Broatch</cp:lastModifiedBy>
  <cp:revision>3</cp:revision>
  <cp:lastPrinted>2010-08-30T21:52:00Z</cp:lastPrinted>
  <dcterms:created xsi:type="dcterms:W3CDTF">2014-09-22T17:40:00Z</dcterms:created>
  <dcterms:modified xsi:type="dcterms:W3CDTF">2017-06-09T10:56:00Z</dcterms:modified>
</cp:coreProperties>
</file>