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5553" w14:textId="00EACB2F" w:rsidR="00232794" w:rsidRDefault="00732CAC" w:rsidP="003538D9">
      <w:pPr>
        <w:pStyle w:val="Heading2"/>
      </w:pPr>
      <w:r w:rsidRPr="00D03EFB">
        <w:t xml:space="preserve">Customer Service </w:t>
      </w:r>
      <w:r w:rsidR="00E74D93">
        <w:t>R</w:t>
      </w:r>
      <w:r w:rsidRPr="00D03EFB">
        <w:t>esources</w:t>
      </w:r>
      <w:r>
        <w:t xml:space="preserve"> on SQA’s </w:t>
      </w:r>
      <w:r w:rsidR="00E74D93">
        <w:t>W</w:t>
      </w:r>
      <w:r>
        <w:t>ebsite</w:t>
      </w:r>
    </w:p>
    <w:p w14:paraId="029F4751" w14:textId="77777777" w:rsidR="00732CAC" w:rsidRPr="00732CAC" w:rsidRDefault="00732CAC" w:rsidP="00732CAC">
      <w:pPr>
        <w:rPr>
          <w:lang w:eastAsia="en-GB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0"/>
      </w:tblGrid>
      <w:tr w:rsidR="00D246C2" w:rsidRPr="00D03EFB" w14:paraId="45052EFA" w14:textId="77777777" w:rsidTr="00895BB0">
        <w:tc>
          <w:tcPr>
            <w:tcW w:w="5000" w:type="pct"/>
            <w:shd w:val="clear" w:color="auto" w:fill="DBE5F1" w:themeFill="accent1" w:themeFillTint="33"/>
          </w:tcPr>
          <w:p w14:paraId="337FB310" w14:textId="77777777" w:rsidR="00D246C2" w:rsidRPr="00D03EFB" w:rsidRDefault="00D246C2" w:rsidP="00D03EFB">
            <w:pPr>
              <w:pStyle w:val="Heading5"/>
              <w:outlineLvl w:val="4"/>
            </w:pPr>
            <w:r w:rsidRPr="00D03EFB">
              <w:t>Customer Service NOS and SVQs</w:t>
            </w:r>
          </w:p>
        </w:tc>
      </w:tr>
      <w:tr w:rsidR="0086082E" w:rsidRPr="00D03EFB" w14:paraId="4A4313D8" w14:textId="77777777" w:rsidTr="00CE167D">
        <w:trPr>
          <w:trHeight w:val="472"/>
        </w:trPr>
        <w:tc>
          <w:tcPr>
            <w:tcW w:w="5000" w:type="pct"/>
          </w:tcPr>
          <w:p w14:paraId="72E80635" w14:textId="77777777" w:rsidR="0086082E" w:rsidRPr="00D03EFB" w:rsidRDefault="00672EC5" w:rsidP="0086082E">
            <w:hyperlink r:id="rId8" w:history="1">
              <w:r w:rsidR="0086082E" w:rsidRPr="00146DB7">
                <w:rPr>
                  <w:rStyle w:val="Hyperlink"/>
                </w:rPr>
                <w:t>Home page for SVQs in Customer Service</w:t>
              </w:r>
            </w:hyperlink>
          </w:p>
        </w:tc>
      </w:tr>
      <w:tr w:rsidR="0086082E" w:rsidRPr="00D03EFB" w14:paraId="244AB175" w14:textId="77777777" w:rsidTr="00895BB0">
        <w:tc>
          <w:tcPr>
            <w:tcW w:w="5000" w:type="pct"/>
          </w:tcPr>
          <w:p w14:paraId="0A5D113A" w14:textId="77777777" w:rsidR="0086082E" w:rsidRPr="00D03EFB" w:rsidRDefault="00672EC5" w:rsidP="00D03EFB">
            <w:hyperlink r:id="rId9" w:history="1">
              <w:r w:rsidR="0086082E" w:rsidRPr="00146DB7">
                <w:rPr>
                  <w:rStyle w:val="Hyperlink"/>
                </w:rPr>
                <w:t>Qualification structures</w:t>
              </w:r>
            </w:hyperlink>
            <w:r w:rsidR="0086082E" w:rsidRPr="00D03EFB">
              <w:t xml:space="preserve"> </w:t>
            </w:r>
          </w:p>
          <w:p w14:paraId="2F6A83B0" w14:textId="77777777" w:rsidR="0086082E" w:rsidRPr="00D03EFB" w:rsidRDefault="0086082E" w:rsidP="00D03EFB">
            <w:r w:rsidRPr="00D03EFB">
              <w:t xml:space="preserve">The SVQ structure for each level can be found on the home page under the heading </w:t>
            </w:r>
            <w:r>
              <w:t>‘</w:t>
            </w:r>
            <w:r w:rsidRPr="00D03EFB">
              <w:t>Qualification Structure</w:t>
            </w:r>
            <w:r>
              <w:t>’</w:t>
            </w:r>
            <w:r w:rsidRPr="00D03EFB">
              <w:t>. The structures include hyperlinks to the units making up the SVQs</w:t>
            </w:r>
            <w:r>
              <w:t>.</w:t>
            </w:r>
          </w:p>
        </w:tc>
      </w:tr>
      <w:tr w:rsidR="0086082E" w:rsidRPr="00D03EFB" w14:paraId="0428D2BC" w14:textId="77777777" w:rsidTr="00895BB0">
        <w:tc>
          <w:tcPr>
            <w:tcW w:w="5000" w:type="pct"/>
          </w:tcPr>
          <w:p w14:paraId="6086AA05" w14:textId="77777777" w:rsidR="0086082E" w:rsidRPr="00D03EFB" w:rsidRDefault="00672EC5" w:rsidP="00D03EFB">
            <w:hyperlink r:id="rId10" w:history="1">
              <w:r w:rsidR="0086082E" w:rsidRPr="00146DB7">
                <w:rPr>
                  <w:rStyle w:val="Hyperlink"/>
                </w:rPr>
                <w:t>Accredited Qualification Unit Search</w:t>
              </w:r>
            </w:hyperlink>
          </w:p>
          <w:p w14:paraId="43956DCB" w14:textId="77777777" w:rsidR="00AC7F6E" w:rsidRDefault="0086082E" w:rsidP="00895BB0">
            <w:r w:rsidRPr="00D03EFB">
              <w:t xml:space="preserve">The ‘Accredited Unit Search’ can be found on SQA’s </w:t>
            </w:r>
            <w:r>
              <w:t xml:space="preserve">open website. </w:t>
            </w:r>
          </w:p>
          <w:p w14:paraId="29357DD3" w14:textId="2515777B" w:rsidR="00FB439E" w:rsidRPr="00D03EFB" w:rsidRDefault="0086082E" w:rsidP="00895BB0">
            <w:r w:rsidRPr="00D03EFB">
              <w:t xml:space="preserve">There is also a link on the </w:t>
            </w:r>
            <w:hyperlink r:id="rId11" w:history="1">
              <w:r w:rsidRPr="00895BB0">
                <w:rPr>
                  <w:rStyle w:val="Hyperlink"/>
                </w:rPr>
                <w:t>SVQ Customer Service home page</w:t>
              </w:r>
            </w:hyperlink>
            <w:r>
              <w:t>.</w:t>
            </w:r>
          </w:p>
        </w:tc>
      </w:tr>
      <w:tr w:rsidR="00895BB0" w:rsidRPr="00D03EFB" w14:paraId="1F3A2258" w14:textId="77777777" w:rsidTr="00895BB0">
        <w:tc>
          <w:tcPr>
            <w:tcW w:w="5000" w:type="pct"/>
          </w:tcPr>
          <w:p w14:paraId="2D2929ED" w14:textId="77777777" w:rsidR="00895BB0" w:rsidRDefault="00895BB0" w:rsidP="00895BB0">
            <w:hyperlink r:id="rId12" w:history="1">
              <w:r w:rsidRPr="00895BB0">
                <w:rPr>
                  <w:rStyle w:val="Hyperlink"/>
                </w:rPr>
                <w:t>Customer Service National Occupational Standards</w:t>
              </w:r>
            </w:hyperlink>
          </w:p>
        </w:tc>
      </w:tr>
      <w:tr w:rsidR="0086082E" w:rsidRPr="00D03EFB" w14:paraId="47BFC216" w14:textId="77777777" w:rsidTr="00895BB0">
        <w:tc>
          <w:tcPr>
            <w:tcW w:w="5000" w:type="pct"/>
          </w:tcPr>
          <w:p w14:paraId="14445B1E" w14:textId="77777777" w:rsidR="0086082E" w:rsidRDefault="00672EC5" w:rsidP="00D03EFB">
            <w:hyperlink r:id="rId13" w:history="1">
              <w:r w:rsidR="0086082E" w:rsidRPr="00146DB7">
                <w:rPr>
                  <w:rStyle w:val="Hyperlink"/>
                </w:rPr>
                <w:t>Assessment Strategy for the SVQs in Customer Service</w:t>
              </w:r>
            </w:hyperlink>
          </w:p>
          <w:p w14:paraId="1D685CE0" w14:textId="261A9D58" w:rsidR="0086082E" w:rsidRPr="00D03EFB" w:rsidRDefault="00FD57D0" w:rsidP="0086082E">
            <w:r>
              <w:t>Found</w:t>
            </w:r>
            <w:r w:rsidR="0086082E" w:rsidRPr="00D03EFB">
              <w:t xml:space="preserve"> </w:t>
            </w:r>
            <w:r w:rsidR="0086082E">
              <w:t>under</w:t>
            </w:r>
            <w:r w:rsidR="0086082E" w:rsidRPr="00D03EFB">
              <w:t xml:space="preserve"> the ‘Assessment Strategy’ tab</w:t>
            </w:r>
            <w:r w:rsidR="0086082E">
              <w:t>.</w:t>
            </w:r>
            <w:r w:rsidR="0086082E" w:rsidRPr="00D03EFB">
              <w:t xml:space="preserve"> </w:t>
            </w:r>
          </w:p>
        </w:tc>
      </w:tr>
      <w:tr w:rsidR="00D246C2" w:rsidRPr="00D03EFB" w14:paraId="78D07CE3" w14:textId="77777777" w:rsidTr="00895BB0">
        <w:tc>
          <w:tcPr>
            <w:tcW w:w="5000" w:type="pct"/>
            <w:shd w:val="clear" w:color="auto" w:fill="DBE5F1" w:themeFill="accent1" w:themeFillTint="33"/>
          </w:tcPr>
          <w:p w14:paraId="22858F20" w14:textId="77777777" w:rsidR="00D246C2" w:rsidRPr="00D03EFB" w:rsidRDefault="00D246C2" w:rsidP="00D03EFB">
            <w:pPr>
              <w:pStyle w:val="Heading5"/>
              <w:outlineLvl w:val="4"/>
            </w:pPr>
            <w:r w:rsidRPr="00D03EFB">
              <w:t xml:space="preserve">Assessment </w:t>
            </w:r>
            <w:r w:rsidR="00D03EFB">
              <w:t>g</w:t>
            </w:r>
            <w:r w:rsidRPr="00D03EFB">
              <w:t xml:space="preserve">uidance </w:t>
            </w:r>
          </w:p>
        </w:tc>
      </w:tr>
      <w:tr w:rsidR="003F7063" w:rsidRPr="00D03EFB" w14:paraId="29C4A320" w14:textId="77777777" w:rsidTr="00895BB0">
        <w:tc>
          <w:tcPr>
            <w:tcW w:w="5000" w:type="pct"/>
          </w:tcPr>
          <w:p w14:paraId="71540E7E" w14:textId="77777777" w:rsidR="003F7063" w:rsidRPr="00D03EFB" w:rsidRDefault="00672EC5" w:rsidP="00D03EFB">
            <w:hyperlink r:id="rId14" w:history="1">
              <w:r w:rsidR="003F7063">
                <w:rPr>
                  <w:rStyle w:val="Hyperlink"/>
                </w:rPr>
                <w:t>SVQ Customer Service Assessor Guidelines</w:t>
              </w:r>
            </w:hyperlink>
          </w:p>
          <w:p w14:paraId="40BCE5B2" w14:textId="77777777" w:rsidR="003F7063" w:rsidRPr="00D03EFB" w:rsidRDefault="003F7063" w:rsidP="00D03EFB">
            <w:r>
              <w:t>F</w:t>
            </w:r>
            <w:r w:rsidRPr="00D03EFB">
              <w:t>ound under the ‘Assessor’s Guidelines’ tab</w:t>
            </w:r>
            <w:r>
              <w:t>.</w:t>
            </w:r>
            <w:r w:rsidRPr="00D03EFB">
              <w:t xml:space="preserve"> </w:t>
            </w:r>
          </w:p>
        </w:tc>
      </w:tr>
      <w:tr w:rsidR="00D246C2" w:rsidRPr="00D03EFB" w14:paraId="20315BE7" w14:textId="77777777" w:rsidTr="00895BB0">
        <w:tc>
          <w:tcPr>
            <w:tcW w:w="5000" w:type="pct"/>
            <w:shd w:val="clear" w:color="auto" w:fill="DBE5F1" w:themeFill="accent1" w:themeFillTint="33"/>
          </w:tcPr>
          <w:p w14:paraId="77B2C4B5" w14:textId="77777777" w:rsidR="00D246C2" w:rsidRPr="00D03EFB" w:rsidRDefault="00D246C2" w:rsidP="00D03EFB">
            <w:pPr>
              <w:pStyle w:val="Heading5"/>
              <w:outlineLvl w:val="4"/>
            </w:pPr>
            <w:r w:rsidRPr="00D03EFB">
              <w:t xml:space="preserve">Candidate </w:t>
            </w:r>
            <w:r w:rsidR="00D03EFB" w:rsidRPr="00D03EFB">
              <w:t>guidance and portfolio</w:t>
            </w:r>
          </w:p>
        </w:tc>
      </w:tr>
      <w:tr w:rsidR="003F7063" w:rsidRPr="00D03EFB" w14:paraId="7B89E6C4" w14:textId="77777777" w:rsidTr="00895BB0">
        <w:tc>
          <w:tcPr>
            <w:tcW w:w="5000" w:type="pct"/>
          </w:tcPr>
          <w:p w14:paraId="209F620B" w14:textId="77777777" w:rsidR="003F7063" w:rsidRDefault="00672EC5" w:rsidP="00D03EFB">
            <w:hyperlink r:id="rId15" w:history="1">
              <w:r w:rsidR="003F7063" w:rsidRPr="003F7063">
                <w:rPr>
                  <w:rStyle w:val="Hyperlink"/>
                </w:rPr>
                <w:t>Candidate guidance and blank forms for portfolio building</w:t>
              </w:r>
            </w:hyperlink>
          </w:p>
          <w:p w14:paraId="1D811185" w14:textId="77777777" w:rsidR="003F7063" w:rsidRPr="00D03EFB" w:rsidRDefault="003F7063" w:rsidP="00D03EFB">
            <w:r>
              <w:t>F</w:t>
            </w:r>
            <w:r w:rsidRPr="00D03EFB">
              <w:t xml:space="preserve">ound under the </w:t>
            </w:r>
            <w:r>
              <w:t>‘</w:t>
            </w:r>
            <w:r w:rsidRPr="00D03EFB">
              <w:t>Candidate Guidance and Portfolio’ tab</w:t>
            </w:r>
            <w:r>
              <w:t>.</w:t>
            </w:r>
            <w:r w:rsidRPr="00D03EFB">
              <w:t xml:space="preserve"> </w:t>
            </w:r>
          </w:p>
        </w:tc>
      </w:tr>
      <w:tr w:rsidR="00D246C2" w:rsidRPr="00D03EFB" w14:paraId="2B2D266D" w14:textId="77777777" w:rsidTr="00895BB0">
        <w:tc>
          <w:tcPr>
            <w:tcW w:w="5000" w:type="pct"/>
            <w:shd w:val="clear" w:color="auto" w:fill="DBE5F1" w:themeFill="accent1" w:themeFillTint="33"/>
          </w:tcPr>
          <w:p w14:paraId="7466EA08" w14:textId="77777777" w:rsidR="00D246C2" w:rsidRPr="00D03EFB" w:rsidRDefault="00D246C2" w:rsidP="00D03EFB">
            <w:pPr>
              <w:pStyle w:val="Heading5"/>
              <w:outlineLvl w:val="4"/>
            </w:pPr>
            <w:r w:rsidRPr="00D03EFB">
              <w:t xml:space="preserve">Candidate </w:t>
            </w:r>
            <w:r w:rsidR="00D03EFB" w:rsidRPr="00D03EFB">
              <w:t>support materials</w:t>
            </w:r>
            <w:r w:rsidR="00126A34" w:rsidRPr="00D03EFB">
              <w:t xml:space="preserve"> </w:t>
            </w:r>
            <w:r w:rsidR="00126A34">
              <w:t xml:space="preserve">for SVQ </w:t>
            </w:r>
            <w:r w:rsidR="00126A34" w:rsidRPr="00D03EFB">
              <w:t xml:space="preserve">Customer Service </w:t>
            </w:r>
            <w:r w:rsidR="00895BB0">
              <w:br/>
            </w:r>
            <w:r w:rsidR="00126A34" w:rsidRPr="00D03EFB">
              <w:t>at SCQF level 5 and SCQF level 6</w:t>
            </w:r>
          </w:p>
        </w:tc>
      </w:tr>
      <w:tr w:rsidR="00126A34" w:rsidRPr="00D03EFB" w14:paraId="7D7A2771" w14:textId="77777777" w:rsidTr="00895BB0">
        <w:tc>
          <w:tcPr>
            <w:tcW w:w="5000" w:type="pct"/>
          </w:tcPr>
          <w:p w14:paraId="7E27DE43" w14:textId="77777777" w:rsidR="00126A34" w:rsidRPr="00D03EFB" w:rsidRDefault="00126A34" w:rsidP="00D03EFB">
            <w:r>
              <w:t>The c</w:t>
            </w:r>
            <w:r w:rsidRPr="00D03EFB">
              <w:t xml:space="preserve">andidate support packs for the </w:t>
            </w:r>
            <w:r>
              <w:t>two mandatory units are</w:t>
            </w:r>
            <w:r w:rsidRPr="00D03EFB">
              <w:t xml:space="preserve"> on </w:t>
            </w:r>
            <w:hyperlink r:id="rId16" w:history="1">
              <w:r w:rsidRPr="00126A34">
                <w:rPr>
                  <w:rStyle w:val="Hyperlink"/>
                </w:rPr>
                <w:t>SQA’s secure site</w:t>
              </w:r>
            </w:hyperlink>
            <w:r w:rsidRPr="00D03EFB">
              <w:t xml:space="preserve">.  </w:t>
            </w:r>
          </w:p>
          <w:p w14:paraId="5A86B928" w14:textId="77777777" w:rsidR="00126A34" w:rsidRPr="00D03EFB" w:rsidRDefault="00126A34" w:rsidP="00D03EFB">
            <w:r w:rsidRPr="00D03EFB">
              <w:t>A secure login and password are needed to access the materials</w:t>
            </w:r>
            <w:r>
              <w:t>.</w:t>
            </w:r>
            <w:r w:rsidRPr="00D03EFB">
              <w:t xml:space="preserve"> </w:t>
            </w:r>
          </w:p>
        </w:tc>
      </w:tr>
      <w:tr w:rsidR="00126A34" w:rsidRPr="00D03EFB" w14:paraId="19117CC3" w14:textId="77777777" w:rsidTr="00895BB0">
        <w:tc>
          <w:tcPr>
            <w:tcW w:w="5000" w:type="pct"/>
          </w:tcPr>
          <w:p w14:paraId="52481A2D" w14:textId="77777777" w:rsidR="00126A34" w:rsidRPr="00D03EFB" w:rsidRDefault="00126A34" w:rsidP="00D03EFB">
            <w:r>
              <w:t>There is an o</w:t>
            </w:r>
            <w:r w:rsidRPr="00D03EFB">
              <w:t xml:space="preserve">nline question bank for </w:t>
            </w:r>
            <w:r>
              <w:t xml:space="preserve">the </w:t>
            </w:r>
            <w:r w:rsidRPr="00D03EFB">
              <w:t xml:space="preserve">mandatory units </w:t>
            </w:r>
            <w:r>
              <w:t xml:space="preserve">at </w:t>
            </w:r>
            <w:hyperlink r:id="rId17" w:history="1">
              <w:r w:rsidRPr="00D03EFB">
                <w:rPr>
                  <w:rStyle w:val="Hyperlink"/>
                </w:rPr>
                <w:t>www.sqasolar.org.uk</w:t>
              </w:r>
            </w:hyperlink>
            <w:r>
              <w:rPr>
                <w:rStyle w:val="Hyperlink"/>
              </w:rPr>
              <w:t>.</w:t>
            </w:r>
          </w:p>
          <w:p w14:paraId="33212191" w14:textId="51A49355" w:rsidR="00126A34" w:rsidRPr="00D03EFB" w:rsidRDefault="00126A34" w:rsidP="00126A34">
            <w:r>
              <w:t>T</w:t>
            </w:r>
            <w:r w:rsidRPr="00D03EFB">
              <w:t xml:space="preserve">he </w:t>
            </w:r>
            <w:hyperlink r:id="rId18" w:history="1">
              <w:r>
                <w:rPr>
                  <w:rStyle w:val="Hyperlink"/>
                </w:rPr>
                <w:t>SVQ Customer Service Assessor Guidelines</w:t>
              </w:r>
            </w:hyperlink>
            <w:r w:rsidR="00666D91">
              <w:t xml:space="preserve"> include</w:t>
            </w:r>
            <w:r>
              <w:t xml:space="preserve"> guidance </w:t>
            </w:r>
            <w:r w:rsidRPr="00D03EFB">
              <w:t xml:space="preserve">on the </w:t>
            </w:r>
            <w:r>
              <w:t>SOLAR materials.</w:t>
            </w:r>
          </w:p>
        </w:tc>
      </w:tr>
      <w:tr w:rsidR="00D246C2" w:rsidRPr="006B0922" w14:paraId="5059ADCD" w14:textId="77777777" w:rsidTr="00895BB0">
        <w:tc>
          <w:tcPr>
            <w:tcW w:w="5000" w:type="pct"/>
            <w:shd w:val="clear" w:color="auto" w:fill="DBE5F1" w:themeFill="accent1" w:themeFillTint="33"/>
          </w:tcPr>
          <w:p w14:paraId="4EEC0A73" w14:textId="77777777" w:rsidR="00D246C2" w:rsidRPr="006B0922" w:rsidRDefault="00D246C2" w:rsidP="00F86588">
            <w:pPr>
              <w:pStyle w:val="Heading5"/>
              <w:outlineLvl w:val="4"/>
            </w:pPr>
            <w:r w:rsidRPr="006B0922">
              <w:t xml:space="preserve">General </w:t>
            </w:r>
            <w:r w:rsidR="00D03EFB">
              <w:t>s</w:t>
            </w:r>
            <w:r w:rsidRPr="006B0922">
              <w:t>upport</w:t>
            </w:r>
            <w:r w:rsidR="00F86588" w:rsidRPr="006B0922">
              <w:t xml:space="preserve"> </w:t>
            </w:r>
            <w:r w:rsidR="00F86588">
              <w:t xml:space="preserve">— </w:t>
            </w:r>
            <w:r w:rsidR="00F86588" w:rsidRPr="006B0922">
              <w:t xml:space="preserve">Ushare </w:t>
            </w:r>
          </w:p>
        </w:tc>
      </w:tr>
      <w:tr w:rsidR="00126A34" w:rsidRPr="006B0922" w14:paraId="0E8E3721" w14:textId="77777777" w:rsidTr="00895BB0">
        <w:tc>
          <w:tcPr>
            <w:tcW w:w="5000" w:type="pct"/>
          </w:tcPr>
          <w:p w14:paraId="1B6D6B04" w14:textId="0487AEB7" w:rsidR="00496CEF" w:rsidRDefault="00126A34" w:rsidP="00496CEF">
            <w:r w:rsidRPr="006B0922">
              <w:t xml:space="preserve">Ushare provides links to open learning resources </w:t>
            </w:r>
            <w:r w:rsidR="00672EC5">
              <w:t>which</w:t>
            </w:r>
            <w:bookmarkStart w:id="0" w:name="_GoBack"/>
            <w:bookmarkEnd w:id="0"/>
            <w:r w:rsidR="00F86588" w:rsidRPr="006B0922">
              <w:t xml:space="preserve"> support learners and practitioners of SQA qualifications.</w:t>
            </w:r>
            <w:r w:rsidR="00496CEF">
              <w:t xml:space="preserve"> See the list</w:t>
            </w:r>
            <w:r w:rsidRPr="006B0922">
              <w:t xml:space="preserve"> at the </w:t>
            </w:r>
            <w:r w:rsidR="00F86588">
              <w:t>foot</w:t>
            </w:r>
            <w:r w:rsidRPr="006B0922">
              <w:t xml:space="preserve"> of the </w:t>
            </w:r>
            <w:hyperlink r:id="rId19" w:history="1">
              <w:r w:rsidRPr="00F86588">
                <w:rPr>
                  <w:rStyle w:val="Hyperlink"/>
                </w:rPr>
                <w:t>Customer Service home page</w:t>
              </w:r>
            </w:hyperlink>
            <w:r w:rsidR="00F86588">
              <w:t>.</w:t>
            </w:r>
            <w:r w:rsidR="00496CEF" w:rsidRPr="006B0922">
              <w:t xml:space="preserve"> </w:t>
            </w:r>
          </w:p>
          <w:p w14:paraId="4FAF2E40" w14:textId="77777777" w:rsidR="00126A34" w:rsidRPr="006B0922" w:rsidRDefault="00496CEF" w:rsidP="00F86588">
            <w:r w:rsidRPr="006B0922">
              <w:t>Users can rate links, comment, and submit new resources.</w:t>
            </w:r>
          </w:p>
        </w:tc>
      </w:tr>
      <w:tr w:rsidR="00D246C2" w:rsidRPr="006B0922" w14:paraId="0252BD8A" w14:textId="77777777" w:rsidTr="00895BB0">
        <w:tc>
          <w:tcPr>
            <w:tcW w:w="5000" w:type="pct"/>
            <w:shd w:val="clear" w:color="auto" w:fill="DBE5F1" w:themeFill="accent1" w:themeFillTint="33"/>
          </w:tcPr>
          <w:p w14:paraId="00E5935B" w14:textId="77777777" w:rsidR="00D246C2" w:rsidRPr="006B0922" w:rsidRDefault="00D03EFB" w:rsidP="00D03EFB">
            <w:pPr>
              <w:pStyle w:val="Heading5"/>
              <w:outlineLvl w:val="4"/>
            </w:pPr>
            <w:r>
              <w:lastRenderedPageBreak/>
              <w:t xml:space="preserve">Workplace </w:t>
            </w:r>
            <w:r w:rsidR="00496CEF">
              <w:t>Assessor/Verifier</w:t>
            </w:r>
          </w:p>
        </w:tc>
      </w:tr>
      <w:tr w:rsidR="00496CEF" w:rsidRPr="006B0922" w14:paraId="1638587A" w14:textId="77777777" w:rsidTr="00895BB0">
        <w:tc>
          <w:tcPr>
            <w:tcW w:w="5000" w:type="pct"/>
          </w:tcPr>
          <w:p w14:paraId="3B3E0271" w14:textId="77777777" w:rsidR="00496CEF" w:rsidRDefault="00496CEF" w:rsidP="00496CEF">
            <w:r>
              <w:t xml:space="preserve">There is </w:t>
            </w:r>
            <w:r w:rsidRPr="006B0922">
              <w:t>guidance on assessor/verifier qualifications</w:t>
            </w:r>
            <w:r>
              <w:t xml:space="preserve"> on our </w:t>
            </w:r>
            <w:hyperlink r:id="rId20" w:history="1">
              <w:r>
                <w:rPr>
                  <w:rStyle w:val="Hyperlink"/>
                </w:rPr>
                <w:t>Learning and Development web pages.</w:t>
              </w:r>
            </w:hyperlink>
          </w:p>
          <w:p w14:paraId="54F08DF0" w14:textId="77777777" w:rsidR="00496CEF" w:rsidRDefault="00496CEF" w:rsidP="00764563"/>
          <w:p w14:paraId="2B821C76" w14:textId="77777777" w:rsidR="00496CEF" w:rsidRPr="006B0922" w:rsidRDefault="00496CEF" w:rsidP="00496CEF">
            <w:r>
              <w:t xml:space="preserve">Also see </w:t>
            </w:r>
            <w:hyperlink r:id="rId21" w:history="1">
              <w:r>
                <w:rPr>
                  <w:rStyle w:val="Hyperlink"/>
                </w:rPr>
                <w:t>Choosing Appropriate Assessor and/or Verifier Qualifications</w:t>
              </w:r>
            </w:hyperlink>
            <w:r>
              <w:rPr>
                <w:rStyle w:val="Hyperlink"/>
              </w:rPr>
              <w:t>.</w:t>
            </w:r>
          </w:p>
          <w:p w14:paraId="398AA067" w14:textId="77777777" w:rsidR="00496CEF" w:rsidRPr="006B0922" w:rsidRDefault="00496CEF" w:rsidP="00764563"/>
        </w:tc>
      </w:tr>
    </w:tbl>
    <w:p w14:paraId="0AA6F79F" w14:textId="77777777" w:rsidR="00D246C2" w:rsidRPr="006B0922" w:rsidRDefault="00D246C2" w:rsidP="00D246C2"/>
    <w:p w14:paraId="42764430" w14:textId="77777777" w:rsidR="00D246C2" w:rsidRPr="004A2308" w:rsidRDefault="00D246C2" w:rsidP="007B2DE6"/>
    <w:sectPr w:rsidR="00D246C2" w:rsidRPr="004A2308" w:rsidSect="00BD256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6C37" w14:textId="77777777" w:rsidR="00D246C2" w:rsidRDefault="00D246C2">
      <w:r>
        <w:separator/>
      </w:r>
    </w:p>
  </w:endnote>
  <w:endnote w:type="continuationSeparator" w:id="0">
    <w:p w14:paraId="1681B250" w14:textId="77777777" w:rsidR="00D246C2" w:rsidRDefault="00D2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2EC2" w14:textId="77777777" w:rsidR="00522363" w:rsidRDefault="00DF0EB2" w:rsidP="00420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3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59D98" w14:textId="77777777" w:rsidR="00522363" w:rsidRDefault="0052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BC70" w14:textId="3F1EC345" w:rsidR="00522363" w:rsidRPr="00690FCF" w:rsidRDefault="00DF0EB2" w:rsidP="00420C3C">
    <w:pPr>
      <w:pStyle w:val="Footer"/>
      <w:framePr w:wrap="around" w:vAnchor="text" w:hAnchor="margin" w:xAlign="center" w:y="1"/>
      <w:rPr>
        <w:rStyle w:val="PageNumber"/>
      </w:rPr>
    </w:pPr>
    <w:r w:rsidRPr="00690FCF">
      <w:rPr>
        <w:rStyle w:val="PageNumber"/>
      </w:rPr>
      <w:fldChar w:fldCharType="begin"/>
    </w:r>
    <w:r w:rsidR="00522363" w:rsidRPr="00690FCF">
      <w:rPr>
        <w:rStyle w:val="PageNumber"/>
      </w:rPr>
      <w:instrText xml:space="preserve">PAGE  </w:instrText>
    </w:r>
    <w:r w:rsidRPr="00690FCF">
      <w:rPr>
        <w:rStyle w:val="PageNumber"/>
      </w:rPr>
      <w:fldChar w:fldCharType="separate"/>
    </w:r>
    <w:r w:rsidR="00672EC5">
      <w:rPr>
        <w:rStyle w:val="PageNumber"/>
        <w:noProof/>
      </w:rPr>
      <w:t>2</w:t>
    </w:r>
    <w:r w:rsidRPr="00690FCF">
      <w:rPr>
        <w:rStyle w:val="PageNumber"/>
      </w:rPr>
      <w:fldChar w:fldCharType="end"/>
    </w:r>
  </w:p>
  <w:p w14:paraId="4E36D25A" w14:textId="77777777" w:rsidR="00522363" w:rsidRDefault="00522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D384" w14:textId="77777777" w:rsidR="00C85646" w:rsidRDefault="00C8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2262F" w14:textId="77777777" w:rsidR="00D246C2" w:rsidRDefault="00D246C2">
      <w:r>
        <w:separator/>
      </w:r>
    </w:p>
  </w:footnote>
  <w:footnote w:type="continuationSeparator" w:id="0">
    <w:p w14:paraId="06EF612C" w14:textId="77777777" w:rsidR="00D246C2" w:rsidRDefault="00D2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7E10" w14:textId="77777777" w:rsidR="00C85646" w:rsidRDefault="00C85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7070" w14:textId="77777777" w:rsidR="00C85646" w:rsidRDefault="00C85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A914" w14:textId="77777777" w:rsidR="00C85646" w:rsidRDefault="00C8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FE2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A08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B4E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8C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448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6C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A1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09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4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689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7"/>
  </w:num>
  <w:num w:numId="4">
    <w:abstractNumId w:val="34"/>
  </w:num>
  <w:num w:numId="5">
    <w:abstractNumId w:val="41"/>
  </w:num>
  <w:num w:numId="6">
    <w:abstractNumId w:val="12"/>
  </w:num>
  <w:num w:numId="7">
    <w:abstractNumId w:val="28"/>
  </w:num>
  <w:num w:numId="8">
    <w:abstractNumId w:val="43"/>
  </w:num>
  <w:num w:numId="9">
    <w:abstractNumId w:val="44"/>
  </w:num>
  <w:num w:numId="10">
    <w:abstractNumId w:val="30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26"/>
  </w:num>
  <w:num w:numId="24">
    <w:abstractNumId w:val="42"/>
  </w:num>
  <w:num w:numId="25">
    <w:abstractNumId w:val="40"/>
  </w:num>
  <w:num w:numId="26">
    <w:abstractNumId w:val="39"/>
  </w:num>
  <w:num w:numId="27">
    <w:abstractNumId w:val="16"/>
  </w:num>
  <w:num w:numId="28">
    <w:abstractNumId w:val="18"/>
  </w:num>
  <w:num w:numId="29">
    <w:abstractNumId w:val="29"/>
  </w:num>
  <w:num w:numId="30">
    <w:abstractNumId w:val="24"/>
  </w:num>
  <w:num w:numId="31">
    <w:abstractNumId w:val="11"/>
  </w:num>
  <w:num w:numId="32">
    <w:abstractNumId w:val="32"/>
  </w:num>
  <w:num w:numId="33">
    <w:abstractNumId w:val="22"/>
  </w:num>
  <w:num w:numId="34">
    <w:abstractNumId w:val="23"/>
  </w:num>
  <w:num w:numId="35">
    <w:abstractNumId w:val="13"/>
  </w:num>
  <w:num w:numId="3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38"/>
  </w:num>
  <w:num w:numId="38">
    <w:abstractNumId w:val="21"/>
  </w:num>
  <w:num w:numId="39">
    <w:abstractNumId w:val="20"/>
  </w:num>
  <w:num w:numId="40">
    <w:abstractNumId w:val="37"/>
  </w:num>
  <w:num w:numId="41">
    <w:abstractNumId w:val="33"/>
  </w:num>
  <w:num w:numId="42">
    <w:abstractNumId w:val="15"/>
  </w:num>
  <w:num w:numId="43">
    <w:abstractNumId w:val="19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C2"/>
    <w:rsid w:val="0000570F"/>
    <w:rsid w:val="0000779B"/>
    <w:rsid w:val="00015980"/>
    <w:rsid w:val="00040105"/>
    <w:rsid w:val="00076922"/>
    <w:rsid w:val="00081B4C"/>
    <w:rsid w:val="000A7B44"/>
    <w:rsid w:val="000B1EC6"/>
    <w:rsid w:val="000B6804"/>
    <w:rsid w:val="00100588"/>
    <w:rsid w:val="001018FF"/>
    <w:rsid w:val="00121597"/>
    <w:rsid w:val="00126A34"/>
    <w:rsid w:val="00146DB7"/>
    <w:rsid w:val="001553EB"/>
    <w:rsid w:val="00174B17"/>
    <w:rsid w:val="00177E65"/>
    <w:rsid w:val="00187E26"/>
    <w:rsid w:val="001C48E3"/>
    <w:rsid w:val="002158DC"/>
    <w:rsid w:val="00232794"/>
    <w:rsid w:val="00245354"/>
    <w:rsid w:val="002508E1"/>
    <w:rsid w:val="00266396"/>
    <w:rsid w:val="00277970"/>
    <w:rsid w:val="002E3C69"/>
    <w:rsid w:val="00302B53"/>
    <w:rsid w:val="00315BFA"/>
    <w:rsid w:val="00347D95"/>
    <w:rsid w:val="003538D9"/>
    <w:rsid w:val="00361299"/>
    <w:rsid w:val="00365FE5"/>
    <w:rsid w:val="00371800"/>
    <w:rsid w:val="00380624"/>
    <w:rsid w:val="00386B85"/>
    <w:rsid w:val="003B0505"/>
    <w:rsid w:val="003C38EB"/>
    <w:rsid w:val="003E5784"/>
    <w:rsid w:val="003F7063"/>
    <w:rsid w:val="0040064A"/>
    <w:rsid w:val="00401C00"/>
    <w:rsid w:val="00420C3C"/>
    <w:rsid w:val="004277FA"/>
    <w:rsid w:val="00427969"/>
    <w:rsid w:val="00481F6D"/>
    <w:rsid w:val="004956B1"/>
    <w:rsid w:val="00496CEF"/>
    <w:rsid w:val="004A2308"/>
    <w:rsid w:val="004A31F3"/>
    <w:rsid w:val="004A6E61"/>
    <w:rsid w:val="004C18E8"/>
    <w:rsid w:val="00522363"/>
    <w:rsid w:val="00522EEF"/>
    <w:rsid w:val="00537C30"/>
    <w:rsid w:val="005520F0"/>
    <w:rsid w:val="0055635B"/>
    <w:rsid w:val="0056261D"/>
    <w:rsid w:val="005807C0"/>
    <w:rsid w:val="005859B1"/>
    <w:rsid w:val="00596361"/>
    <w:rsid w:val="005D3C57"/>
    <w:rsid w:val="005E4630"/>
    <w:rsid w:val="00615253"/>
    <w:rsid w:val="00652D9B"/>
    <w:rsid w:val="006565FB"/>
    <w:rsid w:val="0066380C"/>
    <w:rsid w:val="00666D91"/>
    <w:rsid w:val="00672EC5"/>
    <w:rsid w:val="00690FCF"/>
    <w:rsid w:val="00691083"/>
    <w:rsid w:val="006A6978"/>
    <w:rsid w:val="006B0DAD"/>
    <w:rsid w:val="006B18B4"/>
    <w:rsid w:val="006B5E61"/>
    <w:rsid w:val="006C1108"/>
    <w:rsid w:val="006D1C95"/>
    <w:rsid w:val="006D3AAC"/>
    <w:rsid w:val="006E5D5C"/>
    <w:rsid w:val="00722A7F"/>
    <w:rsid w:val="00730656"/>
    <w:rsid w:val="00732CAC"/>
    <w:rsid w:val="007B2DE6"/>
    <w:rsid w:val="007B652C"/>
    <w:rsid w:val="007C4FA9"/>
    <w:rsid w:val="00804C37"/>
    <w:rsid w:val="00813346"/>
    <w:rsid w:val="00840907"/>
    <w:rsid w:val="00851A16"/>
    <w:rsid w:val="0086082E"/>
    <w:rsid w:val="008608FD"/>
    <w:rsid w:val="00866C49"/>
    <w:rsid w:val="0088437A"/>
    <w:rsid w:val="00890518"/>
    <w:rsid w:val="00891ED1"/>
    <w:rsid w:val="00895BB0"/>
    <w:rsid w:val="008C05BA"/>
    <w:rsid w:val="008C37F3"/>
    <w:rsid w:val="008D335F"/>
    <w:rsid w:val="009439D6"/>
    <w:rsid w:val="00952573"/>
    <w:rsid w:val="00962FBB"/>
    <w:rsid w:val="00982126"/>
    <w:rsid w:val="009873C5"/>
    <w:rsid w:val="009B23A6"/>
    <w:rsid w:val="009C2D88"/>
    <w:rsid w:val="009C55C6"/>
    <w:rsid w:val="009E2A0A"/>
    <w:rsid w:val="009F40CC"/>
    <w:rsid w:val="009F7672"/>
    <w:rsid w:val="00A11BD8"/>
    <w:rsid w:val="00A21745"/>
    <w:rsid w:val="00A35807"/>
    <w:rsid w:val="00A83EAA"/>
    <w:rsid w:val="00A8489F"/>
    <w:rsid w:val="00A9755C"/>
    <w:rsid w:val="00AA6E7C"/>
    <w:rsid w:val="00AC0921"/>
    <w:rsid w:val="00AC7F6E"/>
    <w:rsid w:val="00B000F0"/>
    <w:rsid w:val="00B157ED"/>
    <w:rsid w:val="00B52E4C"/>
    <w:rsid w:val="00B67193"/>
    <w:rsid w:val="00B85D18"/>
    <w:rsid w:val="00BA6C5B"/>
    <w:rsid w:val="00BD2568"/>
    <w:rsid w:val="00BF7097"/>
    <w:rsid w:val="00C12EB2"/>
    <w:rsid w:val="00C34831"/>
    <w:rsid w:val="00C35B45"/>
    <w:rsid w:val="00C42B6D"/>
    <w:rsid w:val="00C5061B"/>
    <w:rsid w:val="00C7693F"/>
    <w:rsid w:val="00C84FF6"/>
    <w:rsid w:val="00C85646"/>
    <w:rsid w:val="00C91403"/>
    <w:rsid w:val="00C91E74"/>
    <w:rsid w:val="00CA3B33"/>
    <w:rsid w:val="00CA53A8"/>
    <w:rsid w:val="00CC5B48"/>
    <w:rsid w:val="00CE141F"/>
    <w:rsid w:val="00CE167D"/>
    <w:rsid w:val="00D03EFB"/>
    <w:rsid w:val="00D060DA"/>
    <w:rsid w:val="00D10432"/>
    <w:rsid w:val="00D246C2"/>
    <w:rsid w:val="00D33FEF"/>
    <w:rsid w:val="00DA0D38"/>
    <w:rsid w:val="00DA38B3"/>
    <w:rsid w:val="00DB3137"/>
    <w:rsid w:val="00DF0EB2"/>
    <w:rsid w:val="00E14054"/>
    <w:rsid w:val="00E17CF2"/>
    <w:rsid w:val="00E478EF"/>
    <w:rsid w:val="00E6098C"/>
    <w:rsid w:val="00E61FBE"/>
    <w:rsid w:val="00E70A46"/>
    <w:rsid w:val="00E74D93"/>
    <w:rsid w:val="00E7638D"/>
    <w:rsid w:val="00E902C6"/>
    <w:rsid w:val="00ED6206"/>
    <w:rsid w:val="00F02C74"/>
    <w:rsid w:val="00F14605"/>
    <w:rsid w:val="00F210BF"/>
    <w:rsid w:val="00F214EB"/>
    <w:rsid w:val="00F24E8A"/>
    <w:rsid w:val="00F4154D"/>
    <w:rsid w:val="00F42D56"/>
    <w:rsid w:val="00F510C3"/>
    <w:rsid w:val="00F72ECA"/>
    <w:rsid w:val="00F81D4E"/>
    <w:rsid w:val="00F86588"/>
    <w:rsid w:val="00FA24B2"/>
    <w:rsid w:val="00FB439E"/>
    <w:rsid w:val="00FC4219"/>
    <w:rsid w:val="00FD57D0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562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FB"/>
    <w:pPr>
      <w:tabs>
        <w:tab w:val="left" w:pos="284"/>
        <w:tab w:val="left" w:pos="567"/>
      </w:tabs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22363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522363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52236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52236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2236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0A46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522363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locked/>
    <w:rsid w:val="00B67193"/>
    <w:rPr>
      <w:rFonts w:ascii="Arial" w:eastAsia="Times New Roman" w:hAnsi="Arial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70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69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769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2363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158DC"/>
    <w:rPr>
      <w:rFonts w:ascii="Arial" w:eastAsia="Times New Roman" w:hAnsi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CA3B3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91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B17"/>
    <w:rPr>
      <w:rFonts w:cs="Times New Roman"/>
      <w:lang w:val="en-GB"/>
    </w:rPr>
  </w:style>
  <w:style w:type="paragraph" w:styleId="Footer">
    <w:name w:val="footer"/>
    <w:link w:val="FooterChar"/>
    <w:autoRedefine/>
    <w:rsid w:val="00522363"/>
    <w:pPr>
      <w:tabs>
        <w:tab w:val="center" w:pos="4153"/>
        <w:tab w:val="right" w:pos="7938"/>
        <w:tab w:val="right" w:pos="8306"/>
      </w:tabs>
    </w:pPr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locked/>
    <w:rsid w:val="00AA6E7C"/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styleId="PageNumber">
    <w:name w:val="page number"/>
    <w:basedOn w:val="DefaultParagraphFont"/>
    <w:rsid w:val="00522363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522363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locked/>
    <w:rsid w:val="00AA6E7C"/>
    <w:rPr>
      <w:rFonts w:ascii="Arial" w:eastAsia="Times New Roman" w:hAnsi="Arial"/>
      <w:b/>
      <w:i/>
      <w:szCs w:val="20"/>
      <w:lang w:val="en-GB"/>
    </w:rPr>
  </w:style>
  <w:style w:type="paragraph" w:customStyle="1" w:styleId="ADHeading1">
    <w:name w:val="ADHeading1"/>
    <w:uiPriority w:val="99"/>
    <w:rsid w:val="005859B1"/>
    <w:pPr>
      <w:tabs>
        <w:tab w:val="left" w:pos="851"/>
      </w:tabs>
    </w:pPr>
    <w:rPr>
      <w:rFonts w:ascii="Arial" w:hAnsi="Arial"/>
      <w:b/>
      <w:sz w:val="28"/>
      <w:szCs w:val="20"/>
      <w:lang w:eastAsia="en-GB"/>
    </w:rPr>
  </w:style>
  <w:style w:type="paragraph" w:customStyle="1" w:styleId="bullet">
    <w:name w:val="bullet"/>
    <w:basedOn w:val="Normal"/>
    <w:rsid w:val="00522363"/>
    <w:pPr>
      <w:numPr>
        <w:numId w:val="32"/>
      </w:numPr>
      <w:tabs>
        <w:tab w:val="clear" w:pos="284"/>
      </w:tabs>
      <w:spacing w:after="60"/>
    </w:pPr>
  </w:style>
  <w:style w:type="character" w:customStyle="1" w:styleId="Heading4Char">
    <w:name w:val="Heading 4 Char"/>
    <w:basedOn w:val="DefaultParagraphFont"/>
    <w:link w:val="Heading4"/>
    <w:rsid w:val="00522363"/>
    <w:rPr>
      <w:rFonts w:ascii="Arial" w:eastAsia="Times New Roman" w:hAnsi="Arial"/>
      <w:b/>
      <w:kern w:val="28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22363"/>
    <w:rPr>
      <w:rFonts w:ascii="Arial" w:eastAsia="Times New Roman" w:hAnsi="Arial"/>
      <w:b/>
      <w:szCs w:val="20"/>
      <w:lang w:val="en-GB"/>
    </w:rPr>
  </w:style>
  <w:style w:type="paragraph" w:customStyle="1" w:styleId="keypoint">
    <w:name w:val="key point"/>
    <w:basedOn w:val="Normal"/>
    <w:rsid w:val="0052236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522363"/>
    <w:pPr>
      <w:ind w:left="567" w:right="567"/>
    </w:pPr>
  </w:style>
  <w:style w:type="paragraph" w:customStyle="1" w:styleId="normaloutdent">
    <w:name w:val="normal outdent"/>
    <w:basedOn w:val="Normal"/>
    <w:rsid w:val="00522363"/>
    <w:pPr>
      <w:ind w:hanging="1134"/>
    </w:pPr>
  </w:style>
  <w:style w:type="paragraph" w:customStyle="1" w:styleId="scqftablebullet">
    <w:name w:val="scqftablebullet"/>
    <w:basedOn w:val="Normal"/>
    <w:rsid w:val="00522363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522363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522363"/>
    <w:rPr>
      <w:sz w:val="20"/>
    </w:rPr>
  </w:style>
  <w:style w:type="paragraph" w:customStyle="1" w:styleId="titlepage1">
    <w:name w:val="title page 1"/>
    <w:basedOn w:val="Heading1"/>
    <w:rsid w:val="00522363"/>
  </w:style>
  <w:style w:type="paragraph" w:customStyle="1" w:styleId="titlepage2">
    <w:name w:val="title page 2"/>
    <w:basedOn w:val="Heading2"/>
    <w:rsid w:val="00522363"/>
    <w:pPr>
      <w:spacing w:before="0" w:after="0"/>
    </w:pPr>
  </w:style>
  <w:style w:type="paragraph" w:styleId="TOC1">
    <w:name w:val="toc 1"/>
    <w:basedOn w:val="Normal"/>
    <w:next w:val="Normal"/>
    <w:autoRedefine/>
    <w:locked/>
    <w:rsid w:val="00522363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locked/>
    <w:rsid w:val="00522363"/>
    <w:pPr>
      <w:ind w:left="1701" w:hanging="1701"/>
    </w:pPr>
    <w:rPr>
      <w:b w:val="0"/>
    </w:rPr>
  </w:style>
  <w:style w:type="paragraph" w:styleId="TOC3">
    <w:name w:val="toc 3"/>
    <w:basedOn w:val="TOC2"/>
    <w:next w:val="Normal"/>
    <w:locked/>
    <w:rsid w:val="00522363"/>
  </w:style>
  <w:style w:type="paragraph" w:styleId="TOC4">
    <w:name w:val="toc 4"/>
    <w:basedOn w:val="TOC2"/>
    <w:next w:val="Normal"/>
    <w:autoRedefine/>
    <w:locked/>
    <w:rsid w:val="00522363"/>
    <w:pPr>
      <w:ind w:left="851"/>
    </w:pPr>
  </w:style>
  <w:style w:type="table" w:styleId="TableGrid">
    <w:name w:val="Table Grid"/>
    <w:basedOn w:val="TableNormal"/>
    <w:uiPriority w:val="59"/>
    <w:locked/>
    <w:rsid w:val="00860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.org.uk/sqa/16732.html" TargetMode="External"/><Relationship Id="rId13" Type="http://schemas.openxmlformats.org/officeDocument/2006/relationships/hyperlink" Target="http://www.sqa.org.uk/sqa/16732.html" TargetMode="External"/><Relationship Id="rId18" Type="http://schemas.openxmlformats.org/officeDocument/2006/relationships/hyperlink" Target="http://www.sqa.org.uk/sqa/files_ccc/DB6227_SVQ_Customer_Service_Assessor%20Guidelines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qa.org.uk/sqa/files_ccc/Choosing_Appropriate_Assessor_and_Verifier_Qualification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killscfa.org/images/pdfs/National%20Occupational%20Standards/Customer%20Service/2010/Customer%20Service.pdf" TargetMode="External"/><Relationship Id="rId17" Type="http://schemas.openxmlformats.org/officeDocument/2006/relationships/hyperlink" Target="http://www.sqasolar.org.u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ecure.sqa.org.uk/secure/SVQ/SVQ_Subjects/Customer_Service" TargetMode="External"/><Relationship Id="rId20" Type="http://schemas.openxmlformats.org/officeDocument/2006/relationships/hyperlink" Target="http://www.sqa.org.uk/sqa/6861.679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qa.org.uk/sqa/16732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qa.org.uk/sqa/16732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qa.org.uk/sqa/controller?p_service=Front.searchAQ&amp;pContentID=2&amp;pMenuID=4544" TargetMode="External"/><Relationship Id="rId19" Type="http://schemas.openxmlformats.org/officeDocument/2006/relationships/hyperlink" Target="http://www.sqa.org.uk/sqa/167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qa.org.uk/sqa/16732.html" TargetMode="External"/><Relationship Id="rId14" Type="http://schemas.openxmlformats.org/officeDocument/2006/relationships/hyperlink" Target="http://www.sqa.org.uk/sqa/files_ccc/DB6227_SVQ_Customer_Service_Assessor%20Guidelines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3266-A4B3-4C5B-9492-EBD4F9A8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2018-02-13T17:06:00Z</dcterms:created>
  <dcterms:modified xsi:type="dcterms:W3CDTF">2018-02-14T16:40:00Z</dcterms:modified>
</cp:coreProperties>
</file>