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B9" w:rsidRDefault="005533B9" w:rsidP="005533B9">
      <w:pPr>
        <w:pStyle w:val="NoSpacing"/>
        <w:pBdr>
          <w:left w:val="nil"/>
        </w:pBdr>
        <w:rPr>
          <w:rFonts w:ascii="Arial" w:hAnsi="Arial" w:cs="Arial"/>
          <w:b/>
          <w:sz w:val="28"/>
          <w:szCs w:val="28"/>
        </w:rPr>
      </w:pPr>
      <w:r>
        <w:rPr>
          <w:rFonts w:ascii="Arial" w:hAnsi="Arial" w:cs="Arial"/>
          <w:b/>
          <w:sz w:val="28"/>
          <w:szCs w:val="28"/>
        </w:rPr>
        <w:t>HNC/D Administration and Information Technology</w:t>
      </w:r>
    </w:p>
    <w:p w:rsidR="005533B9" w:rsidRDefault="005533B9" w:rsidP="005533B9">
      <w:pPr>
        <w:pStyle w:val="NoSpacing"/>
        <w:pBdr>
          <w:left w:val="nil"/>
        </w:pBdr>
        <w:rPr>
          <w:rFonts w:ascii="Arial" w:hAnsi="Arial" w:cs="Arial"/>
          <w:b/>
          <w:sz w:val="28"/>
          <w:szCs w:val="28"/>
        </w:rPr>
      </w:pPr>
    </w:p>
    <w:p w:rsidR="005533B9" w:rsidRDefault="005533B9" w:rsidP="005533B9">
      <w:pPr>
        <w:pStyle w:val="NoSpacing"/>
        <w:pBdr>
          <w:left w:val="nil"/>
        </w:pBdr>
        <w:rPr>
          <w:rFonts w:ascii="Arial" w:hAnsi="Arial" w:cs="Arial"/>
          <w:b/>
          <w:sz w:val="28"/>
          <w:szCs w:val="28"/>
        </w:rPr>
      </w:pPr>
      <w:r>
        <w:rPr>
          <w:rFonts w:ascii="Arial" w:hAnsi="Arial" w:cs="Arial"/>
          <w:b/>
          <w:sz w:val="28"/>
          <w:szCs w:val="28"/>
        </w:rPr>
        <w:t>Limited Review 2015/16</w:t>
      </w:r>
    </w:p>
    <w:p w:rsidR="005533B9" w:rsidRDefault="005533B9" w:rsidP="005533B9">
      <w:pPr>
        <w:pStyle w:val="NoSpacing"/>
        <w:pBdr>
          <w:left w:val="nil"/>
        </w:pBdr>
        <w:rPr>
          <w:rFonts w:ascii="Arial" w:hAnsi="Arial" w:cs="Arial"/>
          <w:b/>
          <w:sz w:val="28"/>
          <w:szCs w:val="28"/>
        </w:rPr>
      </w:pPr>
    </w:p>
    <w:p w:rsidR="005E0B93" w:rsidRPr="005533B9" w:rsidRDefault="00CD66F4" w:rsidP="005533B9">
      <w:pPr>
        <w:pStyle w:val="NoSpacing"/>
        <w:pBdr>
          <w:left w:val="nil"/>
        </w:pBdr>
        <w:rPr>
          <w:rFonts w:ascii="Arial" w:hAnsi="Arial" w:cs="Arial"/>
          <w:b/>
          <w:sz w:val="28"/>
          <w:szCs w:val="28"/>
        </w:rPr>
      </w:pPr>
      <w:r w:rsidRPr="005533B9">
        <w:rPr>
          <w:rFonts w:ascii="Arial" w:hAnsi="Arial" w:cs="Arial"/>
          <w:b/>
          <w:sz w:val="28"/>
          <w:szCs w:val="28"/>
        </w:rPr>
        <w:t>Recording Financial Transactions</w:t>
      </w:r>
      <w:r w:rsidR="005533B9">
        <w:rPr>
          <w:rFonts w:ascii="Arial" w:hAnsi="Arial" w:cs="Arial"/>
          <w:b/>
          <w:sz w:val="28"/>
          <w:szCs w:val="28"/>
        </w:rPr>
        <w:t xml:space="preserve"> (new code HH81 33)</w:t>
      </w:r>
    </w:p>
    <w:p w:rsidR="005E0B93" w:rsidRDefault="005E0B93" w:rsidP="005533B9">
      <w:pPr>
        <w:pStyle w:val="Body"/>
        <w:pBdr>
          <w:left w:val="nil"/>
        </w:pBdr>
      </w:pPr>
    </w:p>
    <w:p w:rsidR="005E0B93" w:rsidRDefault="005E0B93" w:rsidP="005533B9">
      <w:pPr>
        <w:pStyle w:val="Body"/>
        <w:pBdr>
          <w:left w:val="nil"/>
        </w:pBdr>
      </w:pPr>
    </w:p>
    <w:p w:rsidR="005E0B93" w:rsidRDefault="00CD66F4" w:rsidP="005533B9">
      <w:pPr>
        <w:pStyle w:val="Body"/>
        <w:pBdr>
          <w:left w:val="nil"/>
        </w:pBdr>
      </w:pPr>
      <w:r>
        <w:t>This document is a summary of the changes which have been made to Recording Financial Transactions (RFT) during the recent review undertaken by SQA.</w:t>
      </w:r>
    </w:p>
    <w:p w:rsidR="005E0B93" w:rsidRDefault="005E0B93" w:rsidP="005533B9">
      <w:pPr>
        <w:pStyle w:val="Body"/>
        <w:pBdr>
          <w:left w:val="nil"/>
        </w:pBdr>
      </w:pPr>
    </w:p>
    <w:p w:rsidR="005533B9" w:rsidRDefault="005533B9" w:rsidP="005533B9">
      <w:pPr>
        <w:pStyle w:val="Body"/>
        <w:pBdr>
          <w:left w:val="nil"/>
        </w:pBdr>
      </w:pPr>
    </w:p>
    <w:p w:rsidR="005E0B93" w:rsidRDefault="00CD66F4" w:rsidP="005533B9">
      <w:pPr>
        <w:pStyle w:val="Body"/>
        <w:pBdr>
          <w:left w:val="nil"/>
        </w:pBdr>
      </w:pPr>
      <w:r>
        <w:t>Feedback has been received over a period of time regarding the content of this unit and it was felt it was an</w:t>
      </w:r>
      <w:r w:rsidR="005533B9">
        <w:t xml:space="preserve"> opportune moment for </w:t>
      </w:r>
      <w:bookmarkStart w:id="0" w:name="_GoBack"/>
      <w:bookmarkEnd w:id="0"/>
      <w:r w:rsidR="005533B9">
        <w:t>review</w:t>
      </w:r>
      <w:r>
        <w:t>, as practitioners had commented that the unit was too ‘heavy’ in content.</w:t>
      </w:r>
    </w:p>
    <w:p w:rsidR="005E0B93" w:rsidRDefault="005E0B93" w:rsidP="005533B9">
      <w:pPr>
        <w:pStyle w:val="Body"/>
        <w:pBdr>
          <w:left w:val="nil"/>
        </w:pBdr>
      </w:pPr>
    </w:p>
    <w:p w:rsidR="005E0B93" w:rsidRDefault="00CD66F4" w:rsidP="005533B9">
      <w:pPr>
        <w:pStyle w:val="Body"/>
        <w:pBdr>
          <w:left w:val="nil"/>
        </w:pBdr>
      </w:pPr>
      <w:r>
        <w:t>Based on changes to Accounting units to incorporate FRS102, the time was right to look at the content to see if it still meets the requirements of those in the workplace.</w:t>
      </w:r>
    </w:p>
    <w:p w:rsidR="005E0B93" w:rsidRDefault="005E0B93" w:rsidP="005533B9">
      <w:pPr>
        <w:pStyle w:val="Body"/>
        <w:pBdr>
          <w:left w:val="nil"/>
        </w:pBdr>
      </w:pPr>
    </w:p>
    <w:p w:rsidR="005E0B93" w:rsidRDefault="00CD66F4" w:rsidP="005533B9">
      <w:pPr>
        <w:pStyle w:val="Body"/>
        <w:pBdr>
          <w:left w:val="nil"/>
        </w:pBdr>
      </w:pPr>
      <w:r>
        <w:t xml:space="preserve">Taking feedback from a range of sources, it was decided to reduce the book keeping requirements. It is unlikely that candidates working in </w:t>
      </w:r>
      <w:proofErr w:type="spellStart"/>
      <w:proofErr w:type="gramStart"/>
      <w:r>
        <w:t>todays</w:t>
      </w:r>
      <w:proofErr w:type="spellEnd"/>
      <w:proofErr w:type="gramEnd"/>
      <w:r>
        <w:t xml:space="preserve"> workplace will be asked to carry out manual book keeping. They are more likely to be asked to work using a </w:t>
      </w:r>
      <w:proofErr w:type="spellStart"/>
      <w:r>
        <w:t>computerised</w:t>
      </w:r>
      <w:proofErr w:type="spellEnd"/>
      <w:r>
        <w:t xml:space="preserve"> accounting package such as SAGE or </w:t>
      </w:r>
      <w:proofErr w:type="spellStart"/>
      <w:r>
        <w:t>Quickbooks</w:t>
      </w:r>
      <w:proofErr w:type="spellEnd"/>
      <w:r>
        <w:t xml:space="preserve">.  Bearing this in mind it was felt that they may be required to have input to other areas of accounting.  </w:t>
      </w:r>
    </w:p>
    <w:p w:rsidR="005E0B93" w:rsidRDefault="005E0B93" w:rsidP="005533B9">
      <w:pPr>
        <w:pStyle w:val="Body"/>
        <w:pBdr>
          <w:left w:val="nil"/>
        </w:pBdr>
      </w:pPr>
    </w:p>
    <w:p w:rsidR="005E0B93" w:rsidRDefault="00CD66F4" w:rsidP="005533B9">
      <w:pPr>
        <w:pStyle w:val="Body"/>
        <w:pBdr>
          <w:left w:val="nil"/>
        </w:pBdr>
      </w:pPr>
      <w:r>
        <w:t>Those undertaking the review were of the mind that input to the preparation of VAT returns is probable and some book keeping may be useful but that they are unlikely to be asked to complete day books.  The decision was made to amend the first outcome to cover posting from already completed day books, including the new Discount Allowed and Discount Received day books.  These are to be brought in during 2017-18 to adhere to new HMRC rules relating to the treatment of Prompt Payment Discount (formerly Cash Discount).</w:t>
      </w:r>
    </w:p>
    <w:p w:rsidR="00CD66F4" w:rsidRDefault="00CD66F4" w:rsidP="005533B9">
      <w:pPr>
        <w:pStyle w:val="Body"/>
        <w:pBdr>
          <w:left w:val="nil"/>
        </w:pBdr>
      </w:pPr>
    </w:p>
    <w:p w:rsidR="005E0B93" w:rsidRDefault="00CD66F4" w:rsidP="005533B9">
      <w:pPr>
        <w:pStyle w:val="Body"/>
        <w:pBdr>
          <w:left w:val="nil"/>
        </w:pBdr>
      </w:pPr>
      <w:r>
        <w:t>The knowledge and skills for this outcome lists each element of what candidates are required to undertake but they are no longer required to complete day books from source documents, rather they are given completed day books and will be required to post these to the ledgers, then complete a trial balance.  There are some other transactions not included in day books which will be in the task and that require to be posted to the ledgers.</w:t>
      </w:r>
    </w:p>
    <w:p w:rsidR="005E0B93" w:rsidRDefault="005E0B93" w:rsidP="005533B9">
      <w:pPr>
        <w:pStyle w:val="Body"/>
        <w:pBdr>
          <w:left w:val="nil"/>
        </w:pBdr>
      </w:pPr>
    </w:p>
    <w:p w:rsidR="005E0B93" w:rsidRDefault="00CD66F4" w:rsidP="005533B9">
      <w:pPr>
        <w:pStyle w:val="Body"/>
        <w:pBdr>
          <w:left w:val="nil"/>
        </w:pBdr>
      </w:pPr>
      <w:r>
        <w:t>The second outcome now covers VAT, it was previously outcome 3.</w:t>
      </w:r>
    </w:p>
    <w:p w:rsidR="005E0B93" w:rsidRDefault="005E0B93" w:rsidP="005533B9">
      <w:pPr>
        <w:pStyle w:val="Body"/>
        <w:pBdr>
          <w:left w:val="nil"/>
        </w:pBdr>
      </w:pPr>
    </w:p>
    <w:p w:rsidR="005E0B93" w:rsidRDefault="00CD66F4" w:rsidP="005533B9">
      <w:pPr>
        <w:pStyle w:val="Body"/>
        <w:pBdr>
          <w:left w:val="nil"/>
        </w:pBdr>
      </w:pPr>
      <w:r>
        <w:t xml:space="preserve">The third outcome brings in a new topic - bank reconciliation.  This is a straightforward and useful accounting task for any candidate.  </w:t>
      </w:r>
    </w:p>
    <w:p w:rsidR="005E0B93" w:rsidRDefault="005E0B93" w:rsidP="005533B9">
      <w:pPr>
        <w:pStyle w:val="Body"/>
        <w:pBdr>
          <w:left w:val="nil"/>
        </w:pBdr>
      </w:pPr>
    </w:p>
    <w:p w:rsidR="005E0B93" w:rsidRDefault="00CD66F4" w:rsidP="005533B9">
      <w:pPr>
        <w:pStyle w:val="Body"/>
        <w:pBdr>
          <w:left w:val="nil"/>
        </w:pBdr>
      </w:pPr>
      <w:r>
        <w:t>Below is a summary of changes to the unit content.  An Assessment Support Pack will be available for this unit.</w:t>
      </w:r>
    </w:p>
    <w:p w:rsidR="005E0B93" w:rsidRDefault="005E0B93" w:rsidP="005533B9">
      <w:pPr>
        <w:pStyle w:val="Body"/>
        <w:pBdr>
          <w:left w:val="nil"/>
        </w:pBdr>
      </w:pPr>
    </w:p>
    <w:p w:rsidR="005E0B93" w:rsidRDefault="005E0B93" w:rsidP="005533B9">
      <w:pPr>
        <w:pStyle w:val="Body"/>
        <w:pBdr>
          <w:left w:val="nil"/>
        </w:pBdr>
      </w:pPr>
    </w:p>
    <w:p w:rsidR="005E0B93" w:rsidRDefault="00CD66F4">
      <w:pPr>
        <w:pStyle w:val="Body"/>
      </w:pPr>
      <w:r>
        <w:rPr>
          <w:rFonts w:ascii="Arial Unicode MS" w:hAnsi="Arial Unicode MS"/>
        </w:rPr>
        <w:br w:type="page"/>
      </w:r>
    </w:p>
    <w:p w:rsidR="005E0B93" w:rsidRDefault="00CD66F4">
      <w:pPr>
        <w:pStyle w:val="Body"/>
      </w:pPr>
      <w:r>
        <w:lastRenderedPageBreak/>
        <w:t>Recording Financial Transactions</w:t>
      </w:r>
    </w:p>
    <w:p w:rsidR="005E0B93" w:rsidRDefault="005E0B93">
      <w:pPr>
        <w:pStyle w:val="Body"/>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408"/>
        <w:gridCol w:w="2408"/>
        <w:gridCol w:w="2408"/>
        <w:gridCol w:w="2408"/>
      </w:tblGrid>
      <w:tr w:rsidR="005E0B93">
        <w:trPr>
          <w:trHeight w:val="279"/>
          <w:tblHeader/>
        </w:trPr>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5E0B93" w:rsidRDefault="00CD66F4">
            <w:pPr>
              <w:pStyle w:val="TableStyle1"/>
            </w:pPr>
            <w:r>
              <w:rPr>
                <w:rFonts w:eastAsia="Arial Unicode MS" w:cs="Arial Unicode MS"/>
              </w:rPr>
              <w:t>F847 33</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5E0B93" w:rsidRDefault="005E0B93"/>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5E0B93" w:rsidRDefault="00CD66F4" w:rsidP="00CD66F4">
            <w:pPr>
              <w:pStyle w:val="TableStyle1"/>
            </w:pPr>
            <w:r>
              <w:rPr>
                <w:rFonts w:eastAsia="Arial Unicode MS" w:cs="Arial Unicode MS"/>
              </w:rPr>
              <w:t>HH81 33</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5E0B93" w:rsidRDefault="005E0B93"/>
        </w:tc>
      </w:tr>
      <w:tr w:rsidR="005E0B93">
        <w:tblPrEx>
          <w:shd w:val="clear" w:color="auto" w:fill="auto"/>
        </w:tblPrEx>
        <w:trPr>
          <w:trHeight w:val="2685"/>
        </w:trPr>
        <w:tc>
          <w:tcPr>
            <w:tcW w:w="240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5E0B93" w:rsidRDefault="00CD66F4">
            <w:pPr>
              <w:pStyle w:val="TableStyle1"/>
            </w:pPr>
            <w:r>
              <w:rPr>
                <w:rFonts w:eastAsia="Arial Unicode MS" w:cs="Arial Unicode MS"/>
                <w:lang w:val="it-IT"/>
              </w:rPr>
              <w:t>Outcome 1</w:t>
            </w:r>
          </w:p>
          <w:p w:rsidR="005E0B93" w:rsidRDefault="005E0B93">
            <w:pPr>
              <w:pStyle w:val="TableStyle1"/>
            </w:pPr>
          </w:p>
          <w:p w:rsidR="005E0B93" w:rsidRDefault="00CD66F4">
            <w:pPr>
              <w:pStyle w:val="Default"/>
            </w:pPr>
            <w:r>
              <w:rPr>
                <w:rFonts w:ascii="Arial" w:hAnsi="Arial"/>
              </w:rPr>
              <w:t xml:space="preserve">Record business transactions in the books of original entry of a sole trader </w:t>
            </w:r>
          </w:p>
        </w:tc>
        <w:tc>
          <w:tcPr>
            <w:tcW w:w="2408"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5E0B93">
            <w:pPr>
              <w:pStyle w:val="Default"/>
              <w:spacing w:after="42"/>
            </w:pPr>
          </w:p>
          <w:p w:rsidR="005E0B93" w:rsidRDefault="005E0B93">
            <w:pPr>
              <w:pStyle w:val="Default"/>
              <w:spacing w:after="42"/>
            </w:pPr>
          </w:p>
          <w:p w:rsidR="005E0B93" w:rsidRDefault="00CD66F4">
            <w:pPr>
              <w:pStyle w:val="Default"/>
              <w:numPr>
                <w:ilvl w:val="0"/>
                <w:numId w:val="1"/>
              </w:numPr>
              <w:spacing w:after="42"/>
              <w:rPr>
                <w:rFonts w:ascii="Arial" w:hAnsi="Arial"/>
              </w:rPr>
            </w:pPr>
            <w:r>
              <w:rPr>
                <w:rFonts w:ascii="Arial" w:hAnsi="Arial"/>
              </w:rPr>
              <w:t xml:space="preserve">Business documents </w:t>
            </w:r>
          </w:p>
          <w:p w:rsidR="005E0B93" w:rsidRDefault="00CD66F4">
            <w:pPr>
              <w:pStyle w:val="Default"/>
              <w:numPr>
                <w:ilvl w:val="0"/>
                <w:numId w:val="1"/>
              </w:numPr>
              <w:spacing w:after="42"/>
              <w:rPr>
                <w:rFonts w:ascii="Arial" w:hAnsi="Arial"/>
              </w:rPr>
            </w:pPr>
            <w:r>
              <w:rPr>
                <w:rFonts w:ascii="Arial" w:hAnsi="Arial"/>
              </w:rPr>
              <w:t xml:space="preserve">Day books </w:t>
            </w:r>
          </w:p>
          <w:p w:rsidR="005E0B93" w:rsidRDefault="00CD66F4">
            <w:pPr>
              <w:pStyle w:val="Default"/>
              <w:numPr>
                <w:ilvl w:val="0"/>
                <w:numId w:val="1"/>
              </w:numPr>
              <w:spacing w:after="42"/>
              <w:rPr>
                <w:rFonts w:ascii="Arial" w:hAnsi="Arial"/>
              </w:rPr>
            </w:pPr>
            <w:proofErr w:type="spellStart"/>
            <w:r>
              <w:rPr>
                <w:rFonts w:ascii="Arial" w:hAnsi="Arial"/>
              </w:rPr>
              <w:t>Analysed</w:t>
            </w:r>
            <w:proofErr w:type="spellEnd"/>
            <w:r>
              <w:rPr>
                <w:rFonts w:ascii="Arial" w:hAnsi="Arial"/>
              </w:rPr>
              <w:t xml:space="preserve"> petty cash book </w:t>
            </w:r>
          </w:p>
          <w:p w:rsidR="005E0B93" w:rsidRDefault="00CD66F4">
            <w:pPr>
              <w:pStyle w:val="Default"/>
              <w:numPr>
                <w:ilvl w:val="0"/>
                <w:numId w:val="1"/>
              </w:numPr>
              <w:spacing w:after="42"/>
              <w:rPr>
                <w:rFonts w:ascii="Arial" w:hAnsi="Arial"/>
              </w:rPr>
            </w:pPr>
            <w:r>
              <w:rPr>
                <w:rFonts w:ascii="Arial" w:hAnsi="Arial"/>
              </w:rPr>
              <w:t xml:space="preserve">Cash book </w:t>
            </w:r>
          </w:p>
          <w:p w:rsidR="005E0B93" w:rsidRDefault="00CD66F4">
            <w:pPr>
              <w:pStyle w:val="Default"/>
              <w:numPr>
                <w:ilvl w:val="0"/>
                <w:numId w:val="2"/>
              </w:numPr>
              <w:rPr>
                <w:rFonts w:ascii="Times New Roman" w:hAnsi="Times New Roman"/>
              </w:rPr>
            </w:pPr>
            <w:r>
              <w:rPr>
                <w:rFonts w:ascii="Arial" w:hAnsi="Arial"/>
              </w:rPr>
              <w:t>VAT</w:t>
            </w:r>
            <w:r>
              <w:rPr>
                <w:rFonts w:ascii="Times New Roman" w:hAnsi="Times New Roman"/>
              </w:rPr>
              <w:t xml:space="preserve"> </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CD66F4">
            <w:pPr>
              <w:pStyle w:val="TableStyle2"/>
              <w:rPr>
                <w:b/>
                <w:bCs/>
              </w:rPr>
            </w:pPr>
            <w:r>
              <w:rPr>
                <w:b/>
                <w:bCs/>
              </w:rPr>
              <w:t>Outcome 1</w:t>
            </w:r>
          </w:p>
          <w:p w:rsidR="005E0B93" w:rsidRDefault="005E0B93">
            <w:pPr>
              <w:pStyle w:val="TableStyle2"/>
              <w:rPr>
                <w:b/>
                <w:bCs/>
              </w:rPr>
            </w:pPr>
          </w:p>
          <w:p w:rsidR="005E0B93" w:rsidRDefault="00CD66F4">
            <w:pPr>
              <w:pStyle w:val="BodyText"/>
              <w:widowControl w:val="0"/>
              <w:spacing w:before="6" w:line="245" w:lineRule="auto"/>
              <w:ind w:right="507"/>
            </w:pPr>
            <w:r>
              <w:t>Post business transactions to ledger accounts using the principles of double entry book-keeping and prepare a trial balance.</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5E0B93">
            <w:pPr>
              <w:pStyle w:val="BodyText"/>
              <w:widowControl w:val="0"/>
              <w:tabs>
                <w:tab w:val="left" w:pos="501"/>
              </w:tabs>
              <w:ind w:left="66" w:hanging="66"/>
            </w:pPr>
          </w:p>
          <w:p w:rsidR="005E0B93" w:rsidRDefault="005E0B93">
            <w:pPr>
              <w:pStyle w:val="BodyText"/>
              <w:widowControl w:val="0"/>
              <w:tabs>
                <w:tab w:val="left" w:pos="501"/>
              </w:tabs>
              <w:ind w:left="66" w:hanging="66"/>
            </w:pPr>
          </w:p>
          <w:p w:rsidR="005E0B93" w:rsidRDefault="00CD66F4">
            <w:pPr>
              <w:pStyle w:val="BodyText"/>
              <w:widowControl w:val="0"/>
              <w:numPr>
                <w:ilvl w:val="0"/>
                <w:numId w:val="3"/>
              </w:numPr>
            </w:pPr>
            <w:r>
              <w:t>Day books</w:t>
            </w:r>
          </w:p>
          <w:p w:rsidR="005E0B93" w:rsidRDefault="00CD66F4">
            <w:pPr>
              <w:pStyle w:val="BodyText"/>
              <w:widowControl w:val="0"/>
              <w:numPr>
                <w:ilvl w:val="0"/>
                <w:numId w:val="3"/>
              </w:numPr>
            </w:pPr>
            <w:proofErr w:type="spellStart"/>
            <w:r>
              <w:t>Analysed</w:t>
            </w:r>
            <w:proofErr w:type="spellEnd"/>
            <w:r>
              <w:t xml:space="preserve"> petty cash book</w:t>
            </w:r>
          </w:p>
          <w:p w:rsidR="005E0B93" w:rsidRDefault="00CD66F4">
            <w:pPr>
              <w:pStyle w:val="BodyText"/>
              <w:widowControl w:val="0"/>
              <w:numPr>
                <w:ilvl w:val="0"/>
                <w:numId w:val="3"/>
              </w:numPr>
            </w:pPr>
            <w:r>
              <w:t>Cash book</w:t>
            </w:r>
          </w:p>
          <w:p w:rsidR="005E0B93" w:rsidRDefault="00CD66F4">
            <w:pPr>
              <w:pStyle w:val="BodyText"/>
              <w:widowControl w:val="0"/>
              <w:numPr>
                <w:ilvl w:val="0"/>
                <w:numId w:val="3"/>
              </w:numPr>
            </w:pPr>
            <w:r>
              <w:t>VAT</w:t>
            </w:r>
          </w:p>
          <w:p w:rsidR="005E0B93" w:rsidRDefault="00CD66F4">
            <w:pPr>
              <w:pStyle w:val="BodyText"/>
              <w:widowControl w:val="0"/>
              <w:numPr>
                <w:ilvl w:val="0"/>
                <w:numId w:val="3"/>
              </w:numPr>
            </w:pPr>
            <w:r>
              <w:t>Double entry book-keeping principles</w:t>
            </w:r>
          </w:p>
          <w:p w:rsidR="005E0B93" w:rsidRDefault="00CD66F4">
            <w:pPr>
              <w:pStyle w:val="BodyText"/>
              <w:widowControl w:val="0"/>
              <w:numPr>
                <w:ilvl w:val="0"/>
                <w:numId w:val="3"/>
              </w:numPr>
            </w:pPr>
            <w:r>
              <w:t>Accounting ledgers</w:t>
            </w:r>
          </w:p>
          <w:p w:rsidR="005E0B93" w:rsidRDefault="00CD66F4">
            <w:pPr>
              <w:pStyle w:val="BodyText"/>
              <w:widowControl w:val="0"/>
              <w:numPr>
                <w:ilvl w:val="0"/>
                <w:numId w:val="3"/>
              </w:numPr>
            </w:pPr>
            <w:r>
              <w:t>Trial balance</w:t>
            </w:r>
          </w:p>
        </w:tc>
      </w:tr>
      <w:tr w:rsidR="005E0B93">
        <w:tblPrEx>
          <w:shd w:val="clear" w:color="auto" w:fill="auto"/>
        </w:tblPrEx>
        <w:trPr>
          <w:trHeight w:val="279"/>
        </w:trPr>
        <w:tc>
          <w:tcPr>
            <w:tcW w:w="240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5E0B93" w:rsidRDefault="005E0B93"/>
        </w:tc>
        <w:tc>
          <w:tcPr>
            <w:tcW w:w="240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5E0B93" w:rsidRDefault="005E0B93"/>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E0B93" w:rsidRDefault="005E0B93"/>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E0B93" w:rsidRDefault="005E0B93"/>
        </w:tc>
      </w:tr>
      <w:tr w:rsidR="005E0B93">
        <w:tblPrEx>
          <w:shd w:val="clear" w:color="auto" w:fill="auto"/>
        </w:tblPrEx>
        <w:trPr>
          <w:trHeight w:val="2158"/>
        </w:trPr>
        <w:tc>
          <w:tcPr>
            <w:tcW w:w="240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5E0B93" w:rsidRDefault="00CD66F4">
            <w:pPr>
              <w:pStyle w:val="TableStyle1"/>
            </w:pPr>
            <w:r>
              <w:rPr>
                <w:rFonts w:eastAsia="Arial Unicode MS" w:cs="Arial Unicode MS"/>
                <w:lang w:val="it-IT"/>
              </w:rPr>
              <w:t>Outcome 2</w:t>
            </w:r>
          </w:p>
          <w:p w:rsidR="005E0B93" w:rsidRDefault="005E0B93">
            <w:pPr>
              <w:pStyle w:val="TableStyle1"/>
            </w:pPr>
          </w:p>
          <w:p w:rsidR="005E0B93" w:rsidRDefault="00CD66F4">
            <w:pPr>
              <w:pStyle w:val="Default"/>
            </w:pPr>
            <w:r>
              <w:rPr>
                <w:rFonts w:ascii="Arial" w:hAnsi="Arial"/>
              </w:rPr>
              <w:t xml:space="preserve">Post business transactions to ledger accounts using the principles of double entry book-keeping and prepare a trial balance </w:t>
            </w:r>
          </w:p>
        </w:tc>
        <w:tc>
          <w:tcPr>
            <w:tcW w:w="240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5E0B93">
            <w:pPr>
              <w:pStyle w:val="Default"/>
            </w:pPr>
          </w:p>
          <w:p w:rsidR="005E0B93" w:rsidRDefault="00CD66F4">
            <w:pPr>
              <w:pStyle w:val="Default"/>
              <w:numPr>
                <w:ilvl w:val="0"/>
                <w:numId w:val="4"/>
              </w:numPr>
              <w:spacing w:after="42"/>
              <w:rPr>
                <w:rFonts w:ascii="Arial" w:hAnsi="Arial"/>
              </w:rPr>
            </w:pPr>
            <w:r>
              <w:rPr>
                <w:rFonts w:ascii="Arial" w:hAnsi="Arial"/>
              </w:rPr>
              <w:t xml:space="preserve">Double entry book-keeping principles </w:t>
            </w:r>
          </w:p>
          <w:p w:rsidR="005E0B93" w:rsidRDefault="00CD66F4">
            <w:pPr>
              <w:pStyle w:val="Default"/>
              <w:numPr>
                <w:ilvl w:val="0"/>
                <w:numId w:val="4"/>
              </w:numPr>
              <w:spacing w:after="42"/>
              <w:rPr>
                <w:rFonts w:ascii="Arial" w:hAnsi="Arial"/>
              </w:rPr>
            </w:pPr>
            <w:r>
              <w:rPr>
                <w:rFonts w:ascii="Arial" w:hAnsi="Arial"/>
              </w:rPr>
              <w:t xml:space="preserve">Accounting ledgers </w:t>
            </w:r>
          </w:p>
          <w:p w:rsidR="005E0B93" w:rsidRDefault="00CD66F4">
            <w:pPr>
              <w:pStyle w:val="Default"/>
              <w:numPr>
                <w:ilvl w:val="0"/>
                <w:numId w:val="4"/>
              </w:numPr>
              <w:rPr>
                <w:rFonts w:ascii="Arial" w:hAnsi="Arial"/>
                <w:lang w:val="fr-FR"/>
              </w:rPr>
            </w:pPr>
            <w:r>
              <w:rPr>
                <w:rFonts w:ascii="Arial" w:hAnsi="Arial"/>
                <w:lang w:val="fr-FR"/>
              </w:rPr>
              <w:t xml:space="preserve">Trial balance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CD66F4">
            <w:pPr>
              <w:pStyle w:val="TableStyle2"/>
              <w:rPr>
                <w:b/>
                <w:bCs/>
              </w:rPr>
            </w:pPr>
            <w:r>
              <w:rPr>
                <w:b/>
                <w:bCs/>
              </w:rPr>
              <w:t>Outcome 2</w:t>
            </w:r>
          </w:p>
          <w:p w:rsidR="005E0B93" w:rsidRDefault="005E0B93">
            <w:pPr>
              <w:pStyle w:val="TableStyle2"/>
              <w:rPr>
                <w:b/>
                <w:bCs/>
              </w:rPr>
            </w:pPr>
          </w:p>
          <w:p w:rsidR="005E0B93" w:rsidRDefault="00CD66F4">
            <w:pPr>
              <w:pStyle w:val="BodyText"/>
              <w:widowControl w:val="0"/>
              <w:tabs>
                <w:tab w:val="left" w:pos="568"/>
              </w:tabs>
            </w:pPr>
            <w:r>
              <w:t>Complete a VAT Return.</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5E0B93">
            <w:pPr>
              <w:pStyle w:val="Bullet1"/>
            </w:pPr>
          </w:p>
          <w:p w:rsidR="005E0B93" w:rsidRDefault="005E0B93">
            <w:pPr>
              <w:pStyle w:val="Bullet1"/>
            </w:pPr>
          </w:p>
          <w:p w:rsidR="005E0B93" w:rsidRDefault="00CD66F4">
            <w:pPr>
              <w:pStyle w:val="Bullet1"/>
              <w:numPr>
                <w:ilvl w:val="0"/>
                <w:numId w:val="5"/>
              </w:numPr>
            </w:pPr>
            <w:r>
              <w:rPr>
                <w:rFonts w:eastAsia="Arial Unicode MS" w:cs="Arial Unicode MS"/>
              </w:rPr>
              <w:t>Inputs</w:t>
            </w:r>
          </w:p>
          <w:p w:rsidR="005E0B93" w:rsidRDefault="00CD66F4">
            <w:pPr>
              <w:pStyle w:val="Bullet1"/>
              <w:numPr>
                <w:ilvl w:val="0"/>
                <w:numId w:val="5"/>
              </w:numPr>
            </w:pPr>
            <w:r>
              <w:rPr>
                <w:rFonts w:eastAsia="Arial Unicode MS" w:cs="Arial Unicode MS"/>
              </w:rPr>
              <w:t>Outputs</w:t>
            </w:r>
          </w:p>
          <w:p w:rsidR="005E0B93" w:rsidRDefault="00CD66F4">
            <w:pPr>
              <w:pStyle w:val="Bullet1"/>
              <w:numPr>
                <w:ilvl w:val="0"/>
                <w:numId w:val="5"/>
              </w:numPr>
            </w:pPr>
            <w:r>
              <w:rPr>
                <w:rFonts w:eastAsia="Arial Unicode MS" w:cs="Arial Unicode MS"/>
              </w:rPr>
              <w:t>VAT</w:t>
            </w:r>
            <w:r>
              <w:rPr>
                <w:rFonts w:eastAsia="Arial Unicode MS" w:cs="Arial Unicode MS"/>
                <w:spacing w:val="1"/>
              </w:rPr>
              <w:t xml:space="preserve"> </w:t>
            </w:r>
            <w:r>
              <w:rPr>
                <w:rFonts w:eastAsia="Arial Unicode MS" w:cs="Arial Unicode MS"/>
              </w:rPr>
              <w:t>Return</w:t>
            </w:r>
          </w:p>
        </w:tc>
      </w:tr>
      <w:tr w:rsidR="005E0B93">
        <w:tblPrEx>
          <w:shd w:val="clear" w:color="auto" w:fill="auto"/>
        </w:tblPrEx>
        <w:trPr>
          <w:trHeight w:val="279"/>
        </w:trPr>
        <w:tc>
          <w:tcPr>
            <w:tcW w:w="240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5E0B93" w:rsidRDefault="005E0B93"/>
        </w:tc>
        <w:tc>
          <w:tcPr>
            <w:tcW w:w="240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5E0B93" w:rsidRDefault="005E0B93"/>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E0B93" w:rsidRDefault="005E0B93"/>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5E0B93" w:rsidRDefault="005E0B93"/>
        </w:tc>
      </w:tr>
      <w:tr w:rsidR="005E0B93">
        <w:tblPrEx>
          <w:shd w:val="clear" w:color="auto" w:fill="auto"/>
        </w:tblPrEx>
        <w:trPr>
          <w:trHeight w:val="1522"/>
        </w:trPr>
        <w:tc>
          <w:tcPr>
            <w:tcW w:w="240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5E0B93" w:rsidRDefault="00CD66F4">
            <w:pPr>
              <w:pStyle w:val="TableStyle1"/>
            </w:pPr>
            <w:r>
              <w:rPr>
                <w:rFonts w:eastAsia="Arial Unicode MS" w:cs="Arial Unicode MS"/>
                <w:lang w:val="it-IT"/>
              </w:rPr>
              <w:t>Outcome 3</w:t>
            </w:r>
          </w:p>
          <w:p w:rsidR="005E0B93" w:rsidRDefault="005E0B93">
            <w:pPr>
              <w:pStyle w:val="TableStyle1"/>
            </w:pPr>
          </w:p>
          <w:p w:rsidR="005E0B93" w:rsidRDefault="00CD66F4">
            <w:pPr>
              <w:pStyle w:val="Default"/>
            </w:pPr>
            <w:r>
              <w:rPr>
                <w:rFonts w:ascii="Arial" w:hAnsi="Arial"/>
              </w:rPr>
              <w:t>Complete a VAT Return</w:t>
            </w:r>
            <w:r>
              <w:rPr>
                <w:rFonts w:ascii="Times New Roman" w:hAnsi="Times New Roman"/>
              </w:rPr>
              <w:t xml:space="preserve"> </w:t>
            </w:r>
          </w:p>
        </w:tc>
        <w:tc>
          <w:tcPr>
            <w:tcW w:w="240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5E0B93">
            <w:pPr>
              <w:pStyle w:val="Default"/>
            </w:pPr>
          </w:p>
          <w:p w:rsidR="005E0B93" w:rsidRDefault="005E0B93">
            <w:pPr>
              <w:pStyle w:val="Default"/>
            </w:pPr>
          </w:p>
          <w:p w:rsidR="005E0B93" w:rsidRDefault="00CD66F4">
            <w:pPr>
              <w:pStyle w:val="Default"/>
              <w:numPr>
                <w:ilvl w:val="0"/>
                <w:numId w:val="6"/>
              </w:numPr>
              <w:spacing w:after="42"/>
              <w:rPr>
                <w:rFonts w:ascii="Arial" w:hAnsi="Arial"/>
              </w:rPr>
            </w:pPr>
            <w:r>
              <w:rPr>
                <w:rFonts w:ascii="Arial" w:hAnsi="Arial"/>
              </w:rPr>
              <w:t xml:space="preserve">Inputs </w:t>
            </w:r>
          </w:p>
          <w:p w:rsidR="005E0B93" w:rsidRDefault="00CD66F4">
            <w:pPr>
              <w:pStyle w:val="Default"/>
              <w:numPr>
                <w:ilvl w:val="0"/>
                <w:numId w:val="6"/>
              </w:numPr>
              <w:spacing w:after="42"/>
              <w:rPr>
                <w:rFonts w:ascii="Arial" w:hAnsi="Arial"/>
              </w:rPr>
            </w:pPr>
            <w:r>
              <w:rPr>
                <w:rFonts w:ascii="Arial" w:hAnsi="Arial"/>
              </w:rPr>
              <w:t xml:space="preserve">Outputs </w:t>
            </w:r>
          </w:p>
          <w:p w:rsidR="005E0B93" w:rsidRDefault="00CD66F4">
            <w:pPr>
              <w:pStyle w:val="Default"/>
              <w:numPr>
                <w:ilvl w:val="0"/>
                <w:numId w:val="6"/>
              </w:numPr>
              <w:rPr>
                <w:rFonts w:ascii="Arial" w:hAnsi="Arial"/>
              </w:rPr>
            </w:pPr>
            <w:r>
              <w:rPr>
                <w:rFonts w:ascii="Arial" w:hAnsi="Arial"/>
              </w:rPr>
              <w:t xml:space="preserve">VAT Return </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CD66F4">
            <w:pPr>
              <w:pStyle w:val="TableStyle2"/>
              <w:rPr>
                <w:b/>
                <w:bCs/>
              </w:rPr>
            </w:pPr>
            <w:r>
              <w:rPr>
                <w:b/>
                <w:bCs/>
              </w:rPr>
              <w:t>Outcome 3</w:t>
            </w:r>
          </w:p>
          <w:p w:rsidR="005E0B93" w:rsidRDefault="005E0B93">
            <w:pPr>
              <w:pStyle w:val="TableStyle2"/>
              <w:rPr>
                <w:b/>
                <w:bCs/>
              </w:rPr>
            </w:pPr>
          </w:p>
          <w:p w:rsidR="005E0B93" w:rsidRDefault="00CD66F4">
            <w:pPr>
              <w:pStyle w:val="BodyText"/>
              <w:widowControl w:val="0"/>
              <w:tabs>
                <w:tab w:val="left" w:pos="568"/>
              </w:tabs>
            </w:pPr>
            <w:r>
              <w:t>Prepare a Bank Reconciliation Statement</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0B93" w:rsidRDefault="005E0B93">
            <w:pPr>
              <w:pStyle w:val="Body"/>
            </w:pPr>
          </w:p>
          <w:p w:rsidR="005E0B93" w:rsidRDefault="005E0B93">
            <w:pPr>
              <w:pStyle w:val="Body"/>
            </w:pPr>
          </w:p>
          <w:p w:rsidR="005E0B93" w:rsidRDefault="00CD66F4">
            <w:pPr>
              <w:pStyle w:val="Bullet1"/>
              <w:numPr>
                <w:ilvl w:val="0"/>
                <w:numId w:val="7"/>
              </w:numPr>
            </w:pPr>
            <w:r>
              <w:rPr>
                <w:rFonts w:eastAsia="Arial Unicode MS" w:cs="Arial Unicode MS"/>
              </w:rPr>
              <w:t>Bank Statement</w:t>
            </w:r>
          </w:p>
          <w:p w:rsidR="005E0B93" w:rsidRDefault="00CD66F4">
            <w:pPr>
              <w:pStyle w:val="Bullet1"/>
              <w:numPr>
                <w:ilvl w:val="0"/>
                <w:numId w:val="7"/>
              </w:numPr>
            </w:pPr>
            <w:r>
              <w:rPr>
                <w:rFonts w:eastAsia="Arial Unicode MS" w:cs="Arial Unicode MS"/>
              </w:rPr>
              <w:t>Bank Reconciliation Statement</w:t>
            </w:r>
          </w:p>
        </w:tc>
      </w:tr>
    </w:tbl>
    <w:p w:rsidR="005E0B93" w:rsidRDefault="005E0B93">
      <w:pPr>
        <w:pStyle w:val="Body"/>
      </w:pPr>
    </w:p>
    <w:p w:rsidR="005E0B93" w:rsidRDefault="005E0B93">
      <w:pPr>
        <w:pStyle w:val="Body"/>
      </w:pPr>
    </w:p>
    <w:p w:rsidR="005E0B93" w:rsidRDefault="005E0B93">
      <w:pPr>
        <w:pStyle w:val="Body"/>
      </w:pPr>
    </w:p>
    <w:p w:rsidR="005E0B93" w:rsidRDefault="00CD66F4">
      <w:pPr>
        <w:pStyle w:val="Body"/>
      </w:pPr>
      <w:r>
        <w:t>March 2017.</w:t>
      </w:r>
    </w:p>
    <w:sectPr w:rsidR="005E0B9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F2" w:rsidRDefault="00CD66F4">
      <w:r>
        <w:separator/>
      </w:r>
    </w:p>
  </w:endnote>
  <w:endnote w:type="continuationSeparator" w:id="0">
    <w:p w:rsidR="00302CF2" w:rsidRDefault="00CD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93" w:rsidRDefault="005E0B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F2" w:rsidRDefault="00CD66F4">
      <w:r>
        <w:separator/>
      </w:r>
    </w:p>
  </w:footnote>
  <w:footnote w:type="continuationSeparator" w:id="0">
    <w:p w:rsidR="00302CF2" w:rsidRDefault="00CD6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93" w:rsidRDefault="005E0B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547CD"/>
    <w:multiLevelType w:val="hybridMultilevel"/>
    <w:tmpl w:val="A73C3992"/>
    <w:lvl w:ilvl="0" w:tplc="F02C7CB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956A1F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4F0591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4AAB45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760D1E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648CC5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E8C8D3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C40131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E4667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3A865625"/>
    <w:multiLevelType w:val="hybridMultilevel"/>
    <w:tmpl w:val="331E661A"/>
    <w:lvl w:ilvl="0" w:tplc="5164C228">
      <w:start w:val="1"/>
      <w:numFmt w:val="bullet"/>
      <w:lvlText w:val="•"/>
      <w:lvlJc w:val="left"/>
      <w:pPr>
        <w:tabs>
          <w:tab w:val="num" w:pos="180"/>
          <w:tab w:val="left" w:pos="501"/>
        </w:tabs>
        <w:ind w:left="246" w:hanging="246"/>
      </w:pPr>
      <w:rPr>
        <w:rFonts w:hAnsi="Arial Unicode MS"/>
        <w:caps w:val="0"/>
        <w:smallCaps w:val="0"/>
        <w:strike w:val="0"/>
        <w:dstrike w:val="0"/>
        <w:outline w:val="0"/>
        <w:emboss w:val="0"/>
        <w:imprint w:val="0"/>
        <w:spacing w:val="0"/>
        <w:w w:val="100"/>
        <w:kern w:val="0"/>
        <w:position w:val="-2"/>
        <w:highlight w:val="none"/>
        <w:vertAlign w:val="baseline"/>
      </w:rPr>
    </w:lvl>
    <w:lvl w:ilvl="1" w:tplc="22209C36">
      <w:start w:val="1"/>
      <w:numFmt w:val="bullet"/>
      <w:lvlText w:val="•"/>
      <w:lvlJc w:val="left"/>
      <w:pPr>
        <w:tabs>
          <w:tab w:val="num" w:pos="360"/>
          <w:tab w:val="left" w:pos="501"/>
        </w:tabs>
        <w:ind w:left="426" w:hanging="246"/>
      </w:pPr>
      <w:rPr>
        <w:rFonts w:hAnsi="Arial Unicode MS"/>
        <w:caps w:val="0"/>
        <w:smallCaps w:val="0"/>
        <w:strike w:val="0"/>
        <w:dstrike w:val="0"/>
        <w:outline w:val="0"/>
        <w:emboss w:val="0"/>
        <w:imprint w:val="0"/>
        <w:spacing w:val="0"/>
        <w:w w:val="100"/>
        <w:kern w:val="0"/>
        <w:position w:val="-2"/>
        <w:highlight w:val="none"/>
        <w:vertAlign w:val="baseline"/>
      </w:rPr>
    </w:lvl>
    <w:lvl w:ilvl="2" w:tplc="350EB96E">
      <w:start w:val="1"/>
      <w:numFmt w:val="bullet"/>
      <w:lvlText w:val="•"/>
      <w:lvlJc w:val="left"/>
      <w:pPr>
        <w:tabs>
          <w:tab w:val="num" w:pos="540"/>
        </w:tabs>
        <w:ind w:left="606" w:hanging="246"/>
      </w:pPr>
      <w:rPr>
        <w:rFonts w:hAnsi="Arial Unicode MS"/>
        <w:caps w:val="0"/>
        <w:smallCaps w:val="0"/>
        <w:strike w:val="0"/>
        <w:dstrike w:val="0"/>
        <w:outline w:val="0"/>
        <w:emboss w:val="0"/>
        <w:imprint w:val="0"/>
        <w:spacing w:val="0"/>
        <w:w w:val="100"/>
        <w:kern w:val="0"/>
        <w:position w:val="-2"/>
        <w:highlight w:val="none"/>
        <w:vertAlign w:val="baseline"/>
      </w:rPr>
    </w:lvl>
    <w:lvl w:ilvl="3" w:tplc="5A2E0F7A">
      <w:start w:val="1"/>
      <w:numFmt w:val="bullet"/>
      <w:lvlText w:val="•"/>
      <w:lvlJc w:val="left"/>
      <w:pPr>
        <w:tabs>
          <w:tab w:val="left" w:pos="501"/>
          <w:tab w:val="num" w:pos="720"/>
        </w:tabs>
        <w:ind w:left="786" w:hanging="246"/>
      </w:pPr>
      <w:rPr>
        <w:rFonts w:hAnsi="Arial Unicode MS"/>
        <w:caps w:val="0"/>
        <w:smallCaps w:val="0"/>
        <w:strike w:val="0"/>
        <w:dstrike w:val="0"/>
        <w:outline w:val="0"/>
        <w:emboss w:val="0"/>
        <w:imprint w:val="0"/>
        <w:spacing w:val="0"/>
        <w:w w:val="100"/>
        <w:kern w:val="0"/>
        <w:position w:val="-2"/>
        <w:highlight w:val="none"/>
        <w:vertAlign w:val="baseline"/>
      </w:rPr>
    </w:lvl>
    <w:lvl w:ilvl="4" w:tplc="F6F4A6CC">
      <w:start w:val="1"/>
      <w:numFmt w:val="bullet"/>
      <w:lvlText w:val="•"/>
      <w:lvlJc w:val="left"/>
      <w:pPr>
        <w:tabs>
          <w:tab w:val="left" w:pos="501"/>
          <w:tab w:val="num" w:pos="900"/>
        </w:tabs>
        <w:ind w:left="966" w:hanging="246"/>
      </w:pPr>
      <w:rPr>
        <w:rFonts w:hAnsi="Arial Unicode MS"/>
        <w:caps w:val="0"/>
        <w:smallCaps w:val="0"/>
        <w:strike w:val="0"/>
        <w:dstrike w:val="0"/>
        <w:outline w:val="0"/>
        <w:emboss w:val="0"/>
        <w:imprint w:val="0"/>
        <w:spacing w:val="0"/>
        <w:w w:val="100"/>
        <w:kern w:val="0"/>
        <w:position w:val="-2"/>
        <w:highlight w:val="none"/>
        <w:vertAlign w:val="baseline"/>
      </w:rPr>
    </w:lvl>
    <w:lvl w:ilvl="5" w:tplc="5DBED6D6">
      <w:start w:val="1"/>
      <w:numFmt w:val="bullet"/>
      <w:lvlText w:val="•"/>
      <w:lvlJc w:val="left"/>
      <w:pPr>
        <w:tabs>
          <w:tab w:val="left" w:pos="501"/>
          <w:tab w:val="num" w:pos="1080"/>
        </w:tabs>
        <w:ind w:left="1146" w:hanging="246"/>
      </w:pPr>
      <w:rPr>
        <w:rFonts w:hAnsi="Arial Unicode MS"/>
        <w:caps w:val="0"/>
        <w:smallCaps w:val="0"/>
        <w:strike w:val="0"/>
        <w:dstrike w:val="0"/>
        <w:outline w:val="0"/>
        <w:emboss w:val="0"/>
        <w:imprint w:val="0"/>
        <w:spacing w:val="0"/>
        <w:w w:val="100"/>
        <w:kern w:val="0"/>
        <w:position w:val="-2"/>
        <w:highlight w:val="none"/>
        <w:vertAlign w:val="baseline"/>
      </w:rPr>
    </w:lvl>
    <w:lvl w:ilvl="6" w:tplc="6734A9DA">
      <w:start w:val="1"/>
      <w:numFmt w:val="bullet"/>
      <w:lvlText w:val="•"/>
      <w:lvlJc w:val="left"/>
      <w:pPr>
        <w:tabs>
          <w:tab w:val="left" w:pos="501"/>
          <w:tab w:val="num" w:pos="1260"/>
        </w:tabs>
        <w:ind w:left="1326" w:hanging="246"/>
      </w:pPr>
      <w:rPr>
        <w:rFonts w:hAnsi="Arial Unicode MS"/>
        <w:caps w:val="0"/>
        <w:smallCaps w:val="0"/>
        <w:strike w:val="0"/>
        <w:dstrike w:val="0"/>
        <w:outline w:val="0"/>
        <w:emboss w:val="0"/>
        <w:imprint w:val="0"/>
        <w:spacing w:val="0"/>
        <w:w w:val="100"/>
        <w:kern w:val="0"/>
        <w:position w:val="-2"/>
        <w:highlight w:val="none"/>
        <w:vertAlign w:val="baseline"/>
      </w:rPr>
    </w:lvl>
    <w:lvl w:ilvl="7" w:tplc="C268C3B0">
      <w:start w:val="1"/>
      <w:numFmt w:val="bullet"/>
      <w:lvlText w:val="•"/>
      <w:lvlJc w:val="left"/>
      <w:pPr>
        <w:tabs>
          <w:tab w:val="left" w:pos="501"/>
          <w:tab w:val="num" w:pos="1440"/>
        </w:tabs>
        <w:ind w:left="1506" w:hanging="246"/>
      </w:pPr>
      <w:rPr>
        <w:rFonts w:hAnsi="Arial Unicode MS"/>
        <w:caps w:val="0"/>
        <w:smallCaps w:val="0"/>
        <w:strike w:val="0"/>
        <w:dstrike w:val="0"/>
        <w:outline w:val="0"/>
        <w:emboss w:val="0"/>
        <w:imprint w:val="0"/>
        <w:spacing w:val="0"/>
        <w:w w:val="100"/>
        <w:kern w:val="0"/>
        <w:position w:val="-2"/>
        <w:highlight w:val="none"/>
        <w:vertAlign w:val="baseline"/>
      </w:rPr>
    </w:lvl>
    <w:lvl w:ilvl="8" w:tplc="DFD0CA90">
      <w:start w:val="1"/>
      <w:numFmt w:val="bullet"/>
      <w:lvlText w:val="•"/>
      <w:lvlJc w:val="left"/>
      <w:pPr>
        <w:tabs>
          <w:tab w:val="left" w:pos="501"/>
          <w:tab w:val="num" w:pos="1620"/>
        </w:tabs>
        <w:ind w:left="1686" w:hanging="24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412A1CE9"/>
    <w:multiLevelType w:val="hybridMultilevel"/>
    <w:tmpl w:val="A4328066"/>
    <w:lvl w:ilvl="0" w:tplc="2CB8033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182BE2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052559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0FC11D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0D4504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BE8489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F484C5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95ABDF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240257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nsid w:val="49ED45E0"/>
    <w:multiLevelType w:val="hybridMultilevel"/>
    <w:tmpl w:val="D4682E38"/>
    <w:lvl w:ilvl="0" w:tplc="6F9E8E3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D92A94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174774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7382CD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AF6C14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C1672D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B862D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5048E0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C84DB9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6BA26F79"/>
    <w:multiLevelType w:val="hybridMultilevel"/>
    <w:tmpl w:val="A648C35E"/>
    <w:lvl w:ilvl="0" w:tplc="5E90324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6D6482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D94D93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6BEC6A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301CF3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A2A875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2944D9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CF2E5D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38EA5E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nsid w:val="6CF6756F"/>
    <w:multiLevelType w:val="hybridMultilevel"/>
    <w:tmpl w:val="F98AEFFC"/>
    <w:lvl w:ilvl="0" w:tplc="37F4DFF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46CDE5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F6ED46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29EBF2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69027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9ECC1E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D30CDC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F02317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D14A2E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0"/>
    <w:lvlOverride w:ilvl="0">
      <w:lvl w:ilvl="0" w:tplc="F02C7CB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C956A1F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4F0591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A4AAB45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760D1E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648CC5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E8C8D3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C40131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E4667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E0B93"/>
    <w:rsid w:val="00302CF2"/>
    <w:rsid w:val="005533B9"/>
    <w:rsid w:val="005E0B93"/>
    <w:rsid w:val="00CD6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Default">
    <w:name w:val="Default"/>
    <w:rPr>
      <w:rFonts w:ascii="Helvetica" w:hAnsi="Helvetica" w:cs="Arial Unicode MS"/>
      <w:color w:val="000000"/>
      <w:sz w:val="22"/>
      <w:szCs w:val="22"/>
      <w:lang w:val="en-US"/>
    </w:rPr>
  </w:style>
  <w:style w:type="paragraph" w:customStyle="1" w:styleId="TableStyle2">
    <w:name w:val="Table Style 2"/>
    <w:rPr>
      <w:rFonts w:ascii="Helvetica" w:hAnsi="Helvetica" w:cs="Arial Unicode MS"/>
      <w:color w:val="000000"/>
      <w:lang w:val="it-IT"/>
    </w:rPr>
  </w:style>
  <w:style w:type="paragraph" w:styleId="BodyText">
    <w:name w:val="Body Text"/>
    <w:rPr>
      <w:rFonts w:ascii="Arial" w:hAnsi="Arial" w:cs="Arial Unicode MS"/>
      <w:color w:val="000000"/>
      <w:sz w:val="22"/>
      <w:szCs w:val="22"/>
      <w:u w:color="000000"/>
      <w:lang w:val="en-US"/>
    </w:rPr>
  </w:style>
  <w:style w:type="paragraph" w:customStyle="1" w:styleId="Bullet1">
    <w:name w:val="Bullet 1"/>
    <w:pPr>
      <w:spacing w:after="12"/>
    </w:pPr>
    <w:rPr>
      <w:rFonts w:ascii="Arial" w:eastAsia="Arial" w:hAnsi="Arial" w:cs="Arial"/>
      <w:color w:val="000000"/>
      <w:sz w:val="22"/>
      <w:szCs w:val="22"/>
      <w:u w:color="000000"/>
      <w:lang w:val="en-US"/>
    </w:rPr>
  </w:style>
  <w:style w:type="paragraph" w:styleId="NoSpacing">
    <w:name w:val="No Spacing"/>
    <w:uiPriority w:val="1"/>
    <w:qFormat/>
    <w:rsid w:val="00CD66F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1">
    <w:name w:val="Table Style 1"/>
    <w:rPr>
      <w:rFonts w:ascii="Helvetica" w:eastAsia="Helvetica" w:hAnsi="Helvetica" w:cs="Helvetica"/>
      <w:b/>
      <w:bCs/>
      <w:color w:val="000000"/>
    </w:rPr>
  </w:style>
  <w:style w:type="paragraph" w:customStyle="1" w:styleId="Default">
    <w:name w:val="Default"/>
    <w:rPr>
      <w:rFonts w:ascii="Helvetica" w:hAnsi="Helvetica" w:cs="Arial Unicode MS"/>
      <w:color w:val="000000"/>
      <w:sz w:val="22"/>
      <w:szCs w:val="22"/>
      <w:lang w:val="en-US"/>
    </w:rPr>
  </w:style>
  <w:style w:type="paragraph" w:customStyle="1" w:styleId="TableStyle2">
    <w:name w:val="Table Style 2"/>
    <w:rPr>
      <w:rFonts w:ascii="Helvetica" w:hAnsi="Helvetica" w:cs="Arial Unicode MS"/>
      <w:color w:val="000000"/>
      <w:lang w:val="it-IT"/>
    </w:rPr>
  </w:style>
  <w:style w:type="paragraph" w:styleId="BodyText">
    <w:name w:val="Body Text"/>
    <w:rPr>
      <w:rFonts w:ascii="Arial" w:hAnsi="Arial" w:cs="Arial Unicode MS"/>
      <w:color w:val="000000"/>
      <w:sz w:val="22"/>
      <w:szCs w:val="22"/>
      <w:u w:color="000000"/>
      <w:lang w:val="en-US"/>
    </w:rPr>
  </w:style>
  <w:style w:type="paragraph" w:customStyle="1" w:styleId="Bullet1">
    <w:name w:val="Bullet 1"/>
    <w:pPr>
      <w:spacing w:after="12"/>
    </w:pPr>
    <w:rPr>
      <w:rFonts w:ascii="Arial" w:eastAsia="Arial" w:hAnsi="Arial" w:cs="Arial"/>
      <w:color w:val="000000"/>
      <w:sz w:val="22"/>
      <w:szCs w:val="22"/>
      <w:u w:color="000000"/>
      <w:lang w:val="en-US"/>
    </w:rPr>
  </w:style>
  <w:style w:type="paragraph" w:styleId="NoSpacing">
    <w:name w:val="No Spacing"/>
    <w:uiPriority w:val="1"/>
    <w:qFormat/>
    <w:rsid w:val="00CD66F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Hamilton</dc:creator>
  <cp:lastModifiedBy>Tony Hamilton</cp:lastModifiedBy>
  <cp:revision>3</cp:revision>
  <dcterms:created xsi:type="dcterms:W3CDTF">2017-02-23T15:36:00Z</dcterms:created>
  <dcterms:modified xsi:type="dcterms:W3CDTF">2017-03-02T10:47:00Z</dcterms:modified>
</cp:coreProperties>
</file>