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53" w:rsidRDefault="00810E58" w:rsidP="00D56C58">
      <w:pPr>
        <w:pStyle w:val="CompanyName"/>
        <w:framePr w:wrap="notBeside"/>
      </w:pPr>
      <w:r>
        <w:t>`</w:t>
      </w:r>
    </w:p>
    <w:p w:rsidR="001B540A" w:rsidRDefault="00196AE2" w:rsidP="00D56C58">
      <w:pPr>
        <w:pStyle w:val="CompanyName"/>
        <w:framePr w:wrap="notBeside"/>
      </w:pPr>
      <w:r>
        <w:rPr>
          <w:noProof/>
        </w:rPr>
        <w:drawing>
          <wp:inline distT="0" distB="0" distL="0" distR="0" wp14:anchorId="7A8C56A5" wp14:editId="74E4F66B">
            <wp:extent cx="3829050" cy="1981200"/>
            <wp:effectExtent l="0" t="0" r="0" b="0"/>
            <wp:docPr id="2" name="Picture 1" descr="Z:\Procurement\Templates\All Templates\Logo + Presentation\Procurement logos\procurement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curement\Templates\All Templates\Logo + Presentation\Procurement logos\procurement logo 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A15" w:rsidRDefault="007A2A15" w:rsidP="00D56C58">
      <w:pPr>
        <w:pStyle w:val="TitleCover"/>
      </w:pPr>
    </w:p>
    <w:p w:rsidR="006A4B6C" w:rsidRDefault="006A4B6C" w:rsidP="00D56C58">
      <w:pPr>
        <w:pStyle w:val="SubtitleCover"/>
      </w:pPr>
    </w:p>
    <w:p w:rsidR="006A4B6C" w:rsidRDefault="006A4B6C" w:rsidP="00D56C58">
      <w:pPr>
        <w:pStyle w:val="BodyText"/>
      </w:pPr>
    </w:p>
    <w:p w:rsidR="006A4B6C" w:rsidRDefault="006A4B6C" w:rsidP="00D56C58">
      <w:pPr>
        <w:pStyle w:val="BodyText"/>
      </w:pPr>
    </w:p>
    <w:p w:rsidR="006A4B6C" w:rsidRDefault="006A4B6C" w:rsidP="00D56C58">
      <w:pPr>
        <w:pStyle w:val="BodyText"/>
      </w:pPr>
    </w:p>
    <w:p w:rsidR="006A4B6C" w:rsidRPr="00D56C58" w:rsidRDefault="006A4B6C" w:rsidP="00D56C58">
      <w:pPr>
        <w:spacing w:after="240" w:line="240" w:lineRule="atLeast"/>
        <w:ind w:left="357"/>
        <w:rPr>
          <w:sz w:val="52"/>
          <w:szCs w:val="52"/>
        </w:rPr>
      </w:pPr>
      <w:r w:rsidRPr="00D56C58">
        <w:rPr>
          <w:sz w:val="52"/>
          <w:szCs w:val="52"/>
        </w:rPr>
        <w:t>Procurement</w:t>
      </w:r>
      <w:r w:rsidR="00D56C58" w:rsidRPr="00D56C58">
        <w:rPr>
          <w:sz w:val="52"/>
          <w:szCs w:val="52"/>
        </w:rPr>
        <w:t xml:space="preserve"> </w:t>
      </w:r>
      <w:r w:rsidRPr="00D56C58">
        <w:rPr>
          <w:sz w:val="52"/>
          <w:szCs w:val="52"/>
        </w:rPr>
        <w:t>Annual Report</w:t>
      </w:r>
    </w:p>
    <w:p w:rsidR="006A4B6C" w:rsidRPr="00D56C58" w:rsidRDefault="006A4B6C" w:rsidP="00D56C58">
      <w:pPr>
        <w:spacing w:after="240" w:line="240" w:lineRule="atLeast"/>
        <w:ind w:left="357"/>
        <w:rPr>
          <w:sz w:val="52"/>
          <w:szCs w:val="52"/>
        </w:rPr>
      </w:pPr>
      <w:r w:rsidRPr="00D56C58">
        <w:rPr>
          <w:sz w:val="52"/>
          <w:szCs w:val="52"/>
        </w:rPr>
        <w:t>Financial year 20</w:t>
      </w:r>
      <w:r w:rsidR="0078028C">
        <w:rPr>
          <w:sz w:val="52"/>
          <w:szCs w:val="52"/>
        </w:rPr>
        <w:t>17–18</w:t>
      </w:r>
    </w:p>
    <w:p w:rsidR="001B540A" w:rsidRPr="00D56C58" w:rsidRDefault="001B540A" w:rsidP="00D56C58">
      <w:pPr>
        <w:rPr>
          <w:sz w:val="52"/>
          <w:szCs w:val="52"/>
        </w:rPr>
      </w:pPr>
    </w:p>
    <w:p w:rsidR="007A2A15" w:rsidRDefault="007A2A15" w:rsidP="00D56C58"/>
    <w:p w:rsidR="007A2A15" w:rsidRDefault="007A2A15" w:rsidP="00D56C58"/>
    <w:p w:rsidR="007A2A15" w:rsidRDefault="007A2A15" w:rsidP="00D56C58"/>
    <w:p w:rsidR="007A2A15" w:rsidRDefault="001B540A" w:rsidP="00D56C58">
      <w:pPr>
        <w:rPr>
          <w:b/>
          <w:sz w:val="32"/>
          <w:szCs w:val="32"/>
        </w:rPr>
      </w:pPr>
      <w:r w:rsidRPr="00AD13DC">
        <w:br w:type="page"/>
      </w:r>
      <w:r w:rsidR="007A2A15" w:rsidRPr="00486469">
        <w:rPr>
          <w:b/>
          <w:sz w:val="32"/>
          <w:szCs w:val="32"/>
        </w:rPr>
        <w:t>Contents</w:t>
      </w:r>
    </w:p>
    <w:p w:rsidR="00E83D6A" w:rsidRDefault="00E83D6A">
      <w:pPr>
        <w:pStyle w:val="TOC1"/>
        <w:tabs>
          <w:tab w:val="left" w:pos="811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TOC \o "1-2" \n \h \z \u </w:instrText>
      </w:r>
      <w:r>
        <w:rPr>
          <w:b w:val="0"/>
          <w:sz w:val="28"/>
          <w:szCs w:val="28"/>
        </w:rPr>
        <w:fldChar w:fldCharType="separate"/>
      </w:r>
      <w:hyperlink w:anchor="_Toc523234802" w:history="1">
        <w:r w:rsidRPr="006E3739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6E3739">
          <w:rPr>
            <w:rStyle w:val="Hyperlink"/>
            <w:noProof/>
          </w:rPr>
          <w:t>Foreword</w:t>
        </w:r>
      </w:hyperlink>
    </w:p>
    <w:p w:rsidR="00E83D6A" w:rsidRDefault="00BA0B32">
      <w:pPr>
        <w:pStyle w:val="TOC1"/>
        <w:tabs>
          <w:tab w:val="left" w:pos="811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23234803" w:history="1">
        <w:r w:rsidR="00E83D6A" w:rsidRPr="006E3739">
          <w:rPr>
            <w:rStyle w:val="Hyperlink"/>
            <w:noProof/>
          </w:rPr>
          <w:t>2.</w:t>
        </w:r>
        <w:r w:rsidR="00E83D6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83D6A" w:rsidRPr="006E3739">
          <w:rPr>
            <w:rStyle w:val="Hyperlink"/>
            <w:noProof/>
          </w:rPr>
          <w:t>Background</w:t>
        </w:r>
      </w:hyperlink>
    </w:p>
    <w:p w:rsidR="00E83D6A" w:rsidRDefault="00BA0B32">
      <w:pPr>
        <w:pStyle w:val="TOC1"/>
        <w:tabs>
          <w:tab w:val="left" w:pos="811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23234804" w:history="1">
        <w:r w:rsidR="00E83D6A" w:rsidRPr="006E3739">
          <w:rPr>
            <w:rStyle w:val="Hyperlink"/>
            <w:noProof/>
          </w:rPr>
          <w:t>3.</w:t>
        </w:r>
        <w:r w:rsidR="00E83D6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83D6A" w:rsidRPr="006E3739">
          <w:rPr>
            <w:rStyle w:val="Hyperlink"/>
            <w:noProof/>
          </w:rPr>
          <w:t>Objectives</w:t>
        </w:r>
      </w:hyperlink>
    </w:p>
    <w:p w:rsidR="00E83D6A" w:rsidRDefault="00BA0B32">
      <w:pPr>
        <w:pStyle w:val="TOC1"/>
        <w:tabs>
          <w:tab w:val="left" w:pos="811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23234805" w:history="1">
        <w:r w:rsidR="00E83D6A" w:rsidRPr="006E3739">
          <w:rPr>
            <w:rStyle w:val="Hyperlink"/>
            <w:noProof/>
          </w:rPr>
          <w:t>4.</w:t>
        </w:r>
        <w:r w:rsidR="00E83D6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83D6A" w:rsidRPr="006E3739">
          <w:rPr>
            <w:rStyle w:val="Hyperlink"/>
            <w:noProof/>
          </w:rPr>
          <w:t>Achieving the best value for money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06" w:history="1">
        <w:r w:rsidR="00E83D6A" w:rsidRPr="006E3739">
          <w:rPr>
            <w:rStyle w:val="Hyperlink"/>
            <w:noProof/>
          </w:rPr>
          <w:t>Category management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07" w:history="1">
        <w:r w:rsidR="00E83D6A" w:rsidRPr="006E3739">
          <w:rPr>
            <w:rStyle w:val="Hyperlink"/>
            <w:noProof/>
          </w:rPr>
          <w:t>Collaboration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08" w:history="1">
        <w:r w:rsidR="00E83D6A" w:rsidRPr="006E3739">
          <w:rPr>
            <w:rStyle w:val="Hyperlink"/>
            <w:noProof/>
          </w:rPr>
          <w:t>Contract management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09" w:history="1">
        <w:r w:rsidR="00E83D6A" w:rsidRPr="006E3739">
          <w:rPr>
            <w:rStyle w:val="Hyperlink"/>
            <w:noProof/>
          </w:rPr>
          <w:t>Savings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10" w:history="1">
        <w:r w:rsidR="00E83D6A" w:rsidRPr="006E3739">
          <w:rPr>
            <w:rStyle w:val="Hyperlink"/>
            <w:noProof/>
          </w:rPr>
          <w:t>Skills and training</w:t>
        </w:r>
      </w:hyperlink>
    </w:p>
    <w:p w:rsidR="00E83D6A" w:rsidRDefault="00BA0B32">
      <w:pPr>
        <w:pStyle w:val="TOC1"/>
        <w:tabs>
          <w:tab w:val="left" w:pos="811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23234811" w:history="1">
        <w:r w:rsidR="00E83D6A" w:rsidRPr="006E3739">
          <w:rPr>
            <w:rStyle w:val="Hyperlink"/>
            <w:noProof/>
          </w:rPr>
          <w:t>5.</w:t>
        </w:r>
        <w:r w:rsidR="00E83D6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83D6A" w:rsidRPr="006E3739">
          <w:rPr>
            <w:rStyle w:val="Hyperlink"/>
            <w:noProof/>
          </w:rPr>
          <w:t>Responsible Business</w:t>
        </w:r>
      </w:hyperlink>
    </w:p>
    <w:p w:rsidR="00E83D6A" w:rsidRDefault="00BA0B32">
      <w:pPr>
        <w:pStyle w:val="TOC1"/>
        <w:tabs>
          <w:tab w:val="left" w:pos="811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23234812" w:history="1">
        <w:r w:rsidR="00E83D6A" w:rsidRPr="006E3739">
          <w:rPr>
            <w:rStyle w:val="Hyperlink"/>
            <w:noProof/>
          </w:rPr>
          <w:t>6.</w:t>
        </w:r>
        <w:r w:rsidR="00E83D6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83D6A" w:rsidRPr="006E3739">
          <w:rPr>
            <w:rStyle w:val="Hyperlink"/>
            <w:noProof/>
          </w:rPr>
          <w:t>Transparency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13" w:history="1">
        <w:r w:rsidR="00E83D6A" w:rsidRPr="006E3739">
          <w:rPr>
            <w:rStyle w:val="Hyperlink"/>
            <w:noProof/>
          </w:rPr>
          <w:t>Contracts awarded by procedure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14" w:history="1">
        <w:r w:rsidR="00E83D6A" w:rsidRPr="006E3739">
          <w:rPr>
            <w:rStyle w:val="Hyperlink"/>
            <w:noProof/>
          </w:rPr>
          <w:t>Compliance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15" w:history="1">
        <w:r w:rsidR="00E83D6A" w:rsidRPr="006E3739">
          <w:rPr>
            <w:rStyle w:val="Hyperlink"/>
            <w:noProof/>
          </w:rPr>
          <w:t>Breakdown of spend</w:t>
        </w:r>
      </w:hyperlink>
    </w:p>
    <w:p w:rsidR="00E83D6A" w:rsidRDefault="00BA0B32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Cs w:val="22"/>
        </w:rPr>
      </w:pPr>
      <w:hyperlink w:anchor="_Toc523234816" w:history="1">
        <w:r w:rsidR="00E83D6A" w:rsidRPr="006E3739">
          <w:rPr>
            <w:rStyle w:val="Hyperlink"/>
            <w:noProof/>
          </w:rPr>
          <w:t>Fraud</w:t>
        </w:r>
      </w:hyperlink>
    </w:p>
    <w:p w:rsidR="00E83D6A" w:rsidRDefault="00BA0B32">
      <w:pPr>
        <w:pStyle w:val="TOC1"/>
        <w:tabs>
          <w:tab w:val="left" w:pos="811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23234817" w:history="1">
        <w:r w:rsidR="00E83D6A" w:rsidRPr="006E3739">
          <w:rPr>
            <w:rStyle w:val="Hyperlink"/>
            <w:noProof/>
          </w:rPr>
          <w:t>7.</w:t>
        </w:r>
        <w:r w:rsidR="00E83D6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83D6A" w:rsidRPr="006E3739">
          <w:rPr>
            <w:rStyle w:val="Hyperlink"/>
            <w:noProof/>
          </w:rPr>
          <w:t>Conclusion</w:t>
        </w:r>
      </w:hyperlink>
    </w:p>
    <w:p w:rsidR="007A2A15" w:rsidRPr="00486469" w:rsidRDefault="00E83D6A" w:rsidP="00D56C58">
      <w:pPr>
        <w:rPr>
          <w:b/>
        </w:rPr>
      </w:pPr>
      <w:r>
        <w:rPr>
          <w:rFonts w:cstheme="minorHAnsi"/>
          <w:b/>
          <w:sz w:val="28"/>
          <w:szCs w:val="28"/>
        </w:rPr>
        <w:fldChar w:fldCharType="end"/>
      </w:r>
    </w:p>
    <w:p w:rsidR="004232A7" w:rsidRDefault="004232A7">
      <w:pPr>
        <w:autoSpaceDE/>
        <w:autoSpaceDN/>
        <w:adjustRightInd/>
        <w:rPr>
          <w:b/>
          <w:bCs/>
          <w:sz w:val="28"/>
          <w:szCs w:val="28"/>
        </w:rPr>
      </w:pPr>
      <w:r>
        <w:br w:type="page"/>
      </w:r>
    </w:p>
    <w:p w:rsidR="00380E03" w:rsidRPr="00BF7C29" w:rsidRDefault="00380E03" w:rsidP="00A35FA7">
      <w:pPr>
        <w:pStyle w:val="Heading1"/>
      </w:pPr>
      <w:bookmarkStart w:id="0" w:name="_Toc523232503"/>
      <w:bookmarkStart w:id="1" w:name="_Toc523234802"/>
      <w:r w:rsidRPr="00A35FA7">
        <w:t>Foreword</w:t>
      </w:r>
      <w:bookmarkEnd w:id="0"/>
      <w:bookmarkEnd w:id="1"/>
    </w:p>
    <w:p w:rsidR="00380E03" w:rsidRDefault="00380E03" w:rsidP="00D56C58"/>
    <w:p w:rsidR="00380E03" w:rsidRPr="00380E03" w:rsidRDefault="00380E03" w:rsidP="00A804C2">
      <w:pPr>
        <w:jc w:val="both"/>
      </w:pPr>
      <w:r w:rsidRPr="00380E03">
        <w:t xml:space="preserve">We are pleased to present </w:t>
      </w:r>
      <w:r>
        <w:t xml:space="preserve">SQA’s Annual Report for the </w:t>
      </w:r>
      <w:r w:rsidRPr="00380E03">
        <w:t>Procurement</w:t>
      </w:r>
      <w:r>
        <w:t xml:space="preserve"> </w:t>
      </w:r>
      <w:r w:rsidR="000E01C4">
        <w:t>d</w:t>
      </w:r>
      <w:r>
        <w:t>epartment</w:t>
      </w:r>
      <w:r w:rsidR="004232A7">
        <w:t xml:space="preserve">. </w:t>
      </w:r>
      <w:r w:rsidRPr="00380E03">
        <w:t>The intention of this report is to set out the work and the contribution made by the</w:t>
      </w:r>
      <w:r>
        <w:t xml:space="preserve"> department over the financial y</w:t>
      </w:r>
      <w:r w:rsidR="005C54B0">
        <w:t>ear April 2</w:t>
      </w:r>
      <w:r w:rsidR="00AA4169">
        <w:t>0</w:t>
      </w:r>
      <w:r w:rsidR="005C54B0">
        <w:t>1</w:t>
      </w:r>
      <w:r w:rsidR="00AA4169">
        <w:t xml:space="preserve">7 </w:t>
      </w:r>
      <w:r w:rsidR="00810E58">
        <w:t>to</w:t>
      </w:r>
      <w:r w:rsidR="00AA4169">
        <w:t xml:space="preserve"> March 2018</w:t>
      </w:r>
      <w:r w:rsidR="00810E58">
        <w:t>,</w:t>
      </w:r>
      <w:r w:rsidR="00876243">
        <w:t xml:space="preserve"> and to comply with </w:t>
      </w:r>
      <w:r w:rsidR="00810E58">
        <w:t xml:space="preserve">the </w:t>
      </w:r>
      <w:r w:rsidR="00876243">
        <w:t>Procurement Reform (Scotl</w:t>
      </w:r>
      <w:r w:rsidR="00B23F3F">
        <w:t>and) A</w:t>
      </w:r>
      <w:r w:rsidR="00F42589">
        <w:t>ct 2014 Part 2 section 18</w:t>
      </w:r>
      <w:r w:rsidR="00810E58">
        <w:t>,</w:t>
      </w:r>
      <w:r w:rsidR="00F42589">
        <w:t xml:space="preserve"> where</w:t>
      </w:r>
      <w:r w:rsidR="00810E58">
        <w:t>by</w:t>
      </w:r>
      <w:r w:rsidR="00876243">
        <w:t xml:space="preserve"> a contracting authority is required to publish an annual procurement report</w:t>
      </w:r>
      <w:r w:rsidR="002C7D04">
        <w:t xml:space="preserve"> in a transparent and proportionate manner.</w:t>
      </w:r>
    </w:p>
    <w:p w:rsidR="00380E03" w:rsidRDefault="00380E03" w:rsidP="00A804C2">
      <w:pPr>
        <w:jc w:val="both"/>
      </w:pPr>
    </w:p>
    <w:p w:rsidR="004F6561" w:rsidRDefault="00786515" w:rsidP="00A804C2">
      <w:pPr>
        <w:jc w:val="both"/>
      </w:pPr>
      <w:r>
        <w:t>This annual report shows</w:t>
      </w:r>
      <w:r w:rsidR="00380E03" w:rsidRPr="00380E03">
        <w:t xml:space="preserve"> </w:t>
      </w:r>
      <w:r w:rsidR="003C7AE3">
        <w:t xml:space="preserve">that </w:t>
      </w:r>
      <w:r w:rsidR="00380E03">
        <w:t xml:space="preserve">the Procurement department </w:t>
      </w:r>
      <w:r w:rsidR="00380E03" w:rsidRPr="00380E03">
        <w:t>made a</w:t>
      </w:r>
      <w:r w:rsidR="00380E03">
        <w:t xml:space="preserve"> c</w:t>
      </w:r>
      <w:r w:rsidR="00380E03" w:rsidRPr="00380E03">
        <w:t xml:space="preserve">ontribution of </w:t>
      </w:r>
      <w:r>
        <w:t xml:space="preserve">approximately </w:t>
      </w:r>
      <w:r w:rsidR="004F6561">
        <w:t>£</w:t>
      </w:r>
      <w:r w:rsidR="00F908CA">
        <w:t>1m</w:t>
      </w:r>
      <w:r w:rsidR="004F6561">
        <w:t xml:space="preserve"> </w:t>
      </w:r>
      <w:r w:rsidR="00810E58">
        <w:t xml:space="preserve">in </w:t>
      </w:r>
      <w:r w:rsidR="004F6561">
        <w:t>savings</w:t>
      </w:r>
      <w:r w:rsidR="00380E03" w:rsidRPr="00380E03">
        <w:t xml:space="preserve"> across all </w:t>
      </w:r>
      <w:r w:rsidR="004F6561" w:rsidRPr="00380E03">
        <w:t>directorates;</w:t>
      </w:r>
      <w:r w:rsidR="00380E03" w:rsidRPr="00380E03">
        <w:t xml:space="preserve"> </w:t>
      </w:r>
      <w:r>
        <w:t>this is</w:t>
      </w:r>
      <w:r w:rsidR="004F6561">
        <w:t xml:space="preserve"> equivalent to </w:t>
      </w:r>
      <w:r w:rsidR="00603B57">
        <w:t>five</w:t>
      </w:r>
      <w:r w:rsidR="004F6561">
        <w:t xml:space="preserve"> times the cost of the function to SQA</w:t>
      </w:r>
      <w:r w:rsidR="004232A7">
        <w:t xml:space="preserve">. </w:t>
      </w:r>
      <w:r>
        <w:t xml:space="preserve">The collaborative savings </w:t>
      </w:r>
      <w:r w:rsidR="00810E58">
        <w:t xml:space="preserve">made </w:t>
      </w:r>
      <w:r>
        <w:t>by using Scottish Procurement’s frameworks was in the region of £</w:t>
      </w:r>
      <w:r w:rsidR="005D409D">
        <w:t>1.1m</w:t>
      </w:r>
      <w:r w:rsidR="00F57547">
        <w:t xml:space="preserve"> equating to £2.1m savings.</w:t>
      </w:r>
    </w:p>
    <w:p w:rsidR="008D15DC" w:rsidRPr="00380E03" w:rsidRDefault="00E51152" w:rsidP="00A804C2">
      <w:pPr>
        <w:jc w:val="both"/>
      </w:pPr>
      <w:r>
        <w:t>Savings were achieved by working closely with the business to understand the whole life cost of the product/services</w:t>
      </w:r>
      <w:r w:rsidR="004276EB">
        <w:t>.  This allowed</w:t>
      </w:r>
      <w:r>
        <w:t xml:space="preserve"> for </w:t>
      </w:r>
      <w:r w:rsidR="00C52B9F">
        <w:t xml:space="preserve">efficiencies </w:t>
      </w:r>
      <w:r>
        <w:t>to be identified</w:t>
      </w:r>
      <w:r w:rsidR="00C52B9F">
        <w:t xml:space="preserve"> whic</w:t>
      </w:r>
      <w:r w:rsidR="004276EB">
        <w:t>h informed</w:t>
      </w:r>
      <w:r w:rsidR="00C52B9F">
        <w:t xml:space="preserve"> delivery </w:t>
      </w:r>
      <w:r w:rsidR="008D15DC">
        <w:t>and pricing methodology.</w:t>
      </w:r>
      <w:r w:rsidR="00C52B9F">
        <w:t xml:space="preserve">  </w:t>
      </w:r>
      <w:r>
        <w:t xml:space="preserve">The Procurement Team keenly negotiated pricing to ensure SQA received the optimum price and minimised any price increases to below inflation rates.   </w:t>
      </w:r>
    </w:p>
    <w:p w:rsidR="004F6561" w:rsidRDefault="004F6561" w:rsidP="00A804C2">
      <w:pPr>
        <w:jc w:val="both"/>
      </w:pPr>
    </w:p>
    <w:p w:rsidR="004F6561" w:rsidRDefault="004F6561" w:rsidP="00A804C2">
      <w:pPr>
        <w:jc w:val="both"/>
      </w:pPr>
      <w:r>
        <w:t xml:space="preserve">The </w:t>
      </w:r>
      <w:r w:rsidR="003C33D5">
        <w:t>p</w:t>
      </w:r>
      <w:r w:rsidR="000E01C4">
        <w:t>rocurement team</w:t>
      </w:r>
      <w:r>
        <w:t xml:space="preserve"> play</w:t>
      </w:r>
      <w:r w:rsidR="003C7AE3">
        <w:t>s</w:t>
      </w:r>
      <w:r w:rsidR="00380E03" w:rsidRPr="00380E03">
        <w:t xml:space="preserve"> a vital role in providing</w:t>
      </w:r>
      <w:r>
        <w:t xml:space="preserve"> </w:t>
      </w:r>
      <w:r w:rsidR="00380E03" w:rsidRPr="00380E03">
        <w:t>expert</w:t>
      </w:r>
      <w:r>
        <w:t>ise to ensure</w:t>
      </w:r>
      <w:r w:rsidR="00380E03" w:rsidRPr="00380E03">
        <w:t xml:space="preserve"> </w:t>
      </w:r>
      <w:r w:rsidR="00786515">
        <w:t>SQA achieve</w:t>
      </w:r>
      <w:r w:rsidR="00810E58">
        <w:t>s</w:t>
      </w:r>
      <w:r w:rsidR="00786515">
        <w:t xml:space="preserve"> </w:t>
      </w:r>
      <w:r w:rsidR="00380E03" w:rsidRPr="00380E03">
        <w:t xml:space="preserve">the best value for </w:t>
      </w:r>
      <w:r w:rsidR="00786515">
        <w:t>good</w:t>
      </w:r>
      <w:r w:rsidR="00810E58">
        <w:t>s</w:t>
      </w:r>
      <w:r w:rsidR="00786515">
        <w:t xml:space="preserve"> and/or </w:t>
      </w:r>
      <w:r w:rsidR="00380E03" w:rsidRPr="00380E03">
        <w:t>services delivered</w:t>
      </w:r>
      <w:r>
        <w:t xml:space="preserve"> </w:t>
      </w:r>
      <w:r w:rsidR="00810E58">
        <w:t>through third-</w:t>
      </w:r>
      <w:r w:rsidR="00380E03" w:rsidRPr="00380E03">
        <w:t>party contracts</w:t>
      </w:r>
      <w:r w:rsidR="003C7AE3">
        <w:t xml:space="preserve">. The team works </w:t>
      </w:r>
      <w:r w:rsidR="00380E03" w:rsidRPr="00380E03">
        <w:t>clos</w:t>
      </w:r>
      <w:r w:rsidR="00786515">
        <w:t>ely with colleagues across the directorates to ensure</w:t>
      </w:r>
      <w:r w:rsidR="00380E03" w:rsidRPr="00380E03">
        <w:t xml:space="preserve"> </w:t>
      </w:r>
      <w:r w:rsidR="00786515">
        <w:t>contract delivery, value for money</w:t>
      </w:r>
      <w:r w:rsidR="00810E58">
        <w:t>,</w:t>
      </w:r>
      <w:r w:rsidR="00786515">
        <w:t xml:space="preserve"> and innovation</w:t>
      </w:r>
      <w:r w:rsidR="00810E58">
        <w:t>,</w:t>
      </w:r>
      <w:r w:rsidR="00786515">
        <w:t xml:space="preserve"> whil</w:t>
      </w:r>
      <w:r w:rsidR="00810E58">
        <w:t>e</w:t>
      </w:r>
      <w:r>
        <w:t xml:space="preserve"> ensuring legal and </w:t>
      </w:r>
      <w:r w:rsidRPr="00380E03">
        <w:t xml:space="preserve">commercial governance have been </w:t>
      </w:r>
      <w:r w:rsidR="00786515">
        <w:t>adhered to.</w:t>
      </w:r>
    </w:p>
    <w:p w:rsidR="00380E03" w:rsidRPr="00380E03" w:rsidRDefault="00380E03" w:rsidP="00A804C2">
      <w:pPr>
        <w:jc w:val="both"/>
      </w:pPr>
    </w:p>
    <w:p w:rsidR="00380E03" w:rsidRDefault="00786515" w:rsidP="00A804C2">
      <w:pPr>
        <w:jc w:val="both"/>
      </w:pPr>
      <w:r>
        <w:t xml:space="preserve">The </w:t>
      </w:r>
      <w:r w:rsidR="000E01C4">
        <w:t>procurement team</w:t>
      </w:r>
      <w:r>
        <w:t xml:space="preserve"> </w:t>
      </w:r>
      <w:r w:rsidR="00810E58">
        <w:t>aims</w:t>
      </w:r>
      <w:r>
        <w:t xml:space="preserve"> to ensure</w:t>
      </w:r>
      <w:r w:rsidR="00380E03" w:rsidRPr="00380E03">
        <w:t xml:space="preserve"> social value</w:t>
      </w:r>
      <w:r>
        <w:t xml:space="preserve"> commitments and SQA’s wider objectives are </w:t>
      </w:r>
      <w:r w:rsidR="00810E58">
        <w:t xml:space="preserve">built </w:t>
      </w:r>
      <w:r>
        <w:t>in</w:t>
      </w:r>
      <w:r w:rsidR="00810E58">
        <w:t>to</w:t>
      </w:r>
      <w:r>
        <w:t xml:space="preserve"> the tendering</w:t>
      </w:r>
      <w:r w:rsidR="00043023">
        <w:t xml:space="preserve"> process and </w:t>
      </w:r>
      <w:r>
        <w:t>contract award</w:t>
      </w:r>
      <w:r w:rsidR="00043023">
        <w:t>ing</w:t>
      </w:r>
      <w:r w:rsidR="00810E58">
        <w:t>,</w:t>
      </w:r>
      <w:r>
        <w:t xml:space="preserve"> and to work with the business to drive improvements </w:t>
      </w:r>
      <w:r w:rsidR="00810E58">
        <w:t>throughout</w:t>
      </w:r>
      <w:r>
        <w:t xml:space="preserve"> the life of the contracts.</w:t>
      </w:r>
    </w:p>
    <w:p w:rsidR="00786515" w:rsidRDefault="00786515" w:rsidP="00A804C2">
      <w:pPr>
        <w:jc w:val="both"/>
      </w:pPr>
    </w:p>
    <w:p w:rsidR="00AF694E" w:rsidRDefault="00AA4169" w:rsidP="00A804C2">
      <w:pPr>
        <w:jc w:val="both"/>
      </w:pPr>
      <w:r>
        <w:t>In 20</w:t>
      </w:r>
      <w:r w:rsidR="0078028C">
        <w:t>17–18</w:t>
      </w:r>
      <w:r w:rsidR="00AF694E">
        <w:t xml:space="preserve"> the </w:t>
      </w:r>
      <w:r w:rsidR="000E01C4">
        <w:t>procurement team</w:t>
      </w:r>
      <w:r w:rsidR="00043023">
        <w:t>’</w:t>
      </w:r>
      <w:r w:rsidR="00AF694E">
        <w:t>s</w:t>
      </w:r>
      <w:r>
        <w:t xml:space="preserve"> priorities w</w:t>
      </w:r>
      <w:r w:rsidR="00043023">
        <w:t>ere</w:t>
      </w:r>
      <w:r>
        <w:t xml:space="preserve"> to be proactive in supporting the business to deliver it</w:t>
      </w:r>
      <w:r w:rsidR="00043023">
        <w:t>s</w:t>
      </w:r>
      <w:r>
        <w:t xml:space="preserve"> core functions</w:t>
      </w:r>
      <w:r w:rsidR="00043023">
        <w:t>,</w:t>
      </w:r>
      <w:r>
        <w:t xml:space="preserve"> and to support </w:t>
      </w:r>
      <w:r w:rsidR="00AF694E">
        <w:t>the Change Programme</w:t>
      </w:r>
      <w:r>
        <w:t xml:space="preserve"> </w:t>
      </w:r>
      <w:r w:rsidR="005C54B0">
        <w:t xml:space="preserve">in the digitalisation of the services </w:t>
      </w:r>
      <w:r>
        <w:t>to deliver a sustainable</w:t>
      </w:r>
      <w:r w:rsidR="005C54B0">
        <w:t xml:space="preserve"> </w:t>
      </w:r>
      <w:r>
        <w:t>future.</w:t>
      </w:r>
    </w:p>
    <w:p w:rsidR="00AF694E" w:rsidRDefault="00AF694E" w:rsidP="00A804C2">
      <w:pPr>
        <w:pStyle w:val="Heading1"/>
        <w:jc w:val="both"/>
      </w:pPr>
      <w:r>
        <w:rPr>
          <w:szCs w:val="22"/>
        </w:rPr>
        <w:br w:type="page"/>
      </w:r>
      <w:bookmarkStart w:id="2" w:name="_Toc523232504"/>
      <w:bookmarkStart w:id="3" w:name="_Toc523234803"/>
      <w:r>
        <w:t>Background</w:t>
      </w:r>
      <w:bookmarkEnd w:id="2"/>
      <w:bookmarkEnd w:id="3"/>
    </w:p>
    <w:p w:rsidR="007C1E5F" w:rsidRDefault="007C1E5F" w:rsidP="00A804C2">
      <w:pPr>
        <w:jc w:val="both"/>
      </w:pPr>
    </w:p>
    <w:p w:rsidR="00452FC3" w:rsidRDefault="00764B7D" w:rsidP="00A804C2">
      <w:pPr>
        <w:jc w:val="both"/>
      </w:pPr>
      <w:r>
        <w:t xml:space="preserve">The </w:t>
      </w:r>
      <w:r w:rsidRPr="00D56C58">
        <w:t>p</w:t>
      </w:r>
      <w:r w:rsidR="007C1E5F" w:rsidRPr="00D56C58">
        <w:t>rocurement</w:t>
      </w:r>
      <w:r w:rsidR="007C1E5F">
        <w:t xml:space="preserve"> te</w:t>
      </w:r>
      <w:r w:rsidR="005C54B0">
        <w:t>am under</w:t>
      </w:r>
      <w:r w:rsidR="00452FC3">
        <w:t xml:space="preserve">went a review in 2016 which resulted in a restructure of the team to meet SQA’s vision. </w:t>
      </w:r>
    </w:p>
    <w:p w:rsidR="00452FC3" w:rsidRDefault="00452FC3" w:rsidP="00A804C2">
      <w:pPr>
        <w:jc w:val="both"/>
      </w:pPr>
    </w:p>
    <w:p w:rsidR="00452FC3" w:rsidRDefault="00452FC3" w:rsidP="00A804C2">
      <w:pPr>
        <w:jc w:val="both"/>
      </w:pPr>
      <w:r>
        <w:t>The</w:t>
      </w:r>
      <w:r w:rsidR="00CA1DEB">
        <w:t xml:space="preserve"> </w:t>
      </w:r>
      <w:r>
        <w:t>procurement structure w</w:t>
      </w:r>
      <w:r w:rsidR="00260602">
        <w:t>as</w:t>
      </w:r>
      <w:r>
        <w:t xml:space="preserve"> </w:t>
      </w:r>
      <w:r w:rsidR="00260602">
        <w:t>t</w:t>
      </w:r>
      <w:r>
        <w:t>ransform</w:t>
      </w:r>
      <w:r w:rsidR="00260602">
        <w:t>ed</w:t>
      </w:r>
      <w:r>
        <w:t xml:space="preserve"> from </w:t>
      </w:r>
      <w:r w:rsidR="00CA1DEB">
        <w:t xml:space="preserve">a </w:t>
      </w:r>
      <w:r>
        <w:t xml:space="preserve">reactive tendering based </w:t>
      </w:r>
      <w:r w:rsidR="00CA1DEB">
        <w:t>approach</w:t>
      </w:r>
      <w:r w:rsidR="0078028C">
        <w:t>,</w:t>
      </w:r>
      <w:r w:rsidR="00CA1DEB">
        <w:t xml:space="preserve"> driven by</w:t>
      </w:r>
      <w:r>
        <w:t xml:space="preserve"> resource availability</w:t>
      </w:r>
      <w:r w:rsidR="00501242">
        <w:t>,</w:t>
      </w:r>
      <w:r>
        <w:t xml:space="preserve"> to a </w:t>
      </w:r>
      <w:r w:rsidR="00501242">
        <w:t>c</w:t>
      </w:r>
      <w:r>
        <w:t xml:space="preserve">ategory </w:t>
      </w:r>
      <w:r w:rsidR="00501242">
        <w:t>m</w:t>
      </w:r>
      <w:r>
        <w:t xml:space="preserve">anagement </w:t>
      </w:r>
      <w:r w:rsidR="00501242">
        <w:t>m</w:t>
      </w:r>
      <w:r>
        <w:t>odel</w:t>
      </w:r>
      <w:r w:rsidR="00501242">
        <w:t>,</w:t>
      </w:r>
      <w:r>
        <w:t xml:space="preserve"> with named contacts for each </w:t>
      </w:r>
      <w:r w:rsidR="00603B57">
        <w:t>b</w:t>
      </w:r>
      <w:r>
        <w:t>usiness ar</w:t>
      </w:r>
      <w:r w:rsidR="00CA1DEB">
        <w:t>ea</w:t>
      </w:r>
      <w:r w:rsidR="0078028C">
        <w:t>,</w:t>
      </w:r>
      <w:r w:rsidR="00CA1DEB">
        <w:t xml:space="preserve"> </w:t>
      </w:r>
      <w:r w:rsidR="00501242">
        <w:t>and</w:t>
      </w:r>
      <w:r w:rsidR="00CA1DEB">
        <w:t xml:space="preserve"> a stronger e</w:t>
      </w:r>
      <w:r w:rsidR="00DE333F">
        <w:t>mphasis</w:t>
      </w:r>
      <w:r w:rsidR="00CA1DEB">
        <w:t xml:space="preserve"> on tender planning and whole life costs.</w:t>
      </w:r>
    </w:p>
    <w:p w:rsidR="00CA1DEB" w:rsidRDefault="00CA1DEB" w:rsidP="00A804C2">
      <w:pPr>
        <w:jc w:val="both"/>
      </w:pPr>
    </w:p>
    <w:p w:rsidR="00452FC3" w:rsidRDefault="00CA1DEB" w:rsidP="00A804C2">
      <w:pPr>
        <w:jc w:val="both"/>
      </w:pPr>
      <w:r>
        <w:t xml:space="preserve">The </w:t>
      </w:r>
      <w:r w:rsidR="00930988">
        <w:t xml:space="preserve">location of the team at </w:t>
      </w:r>
      <w:r w:rsidR="001B7850">
        <w:t xml:space="preserve">only </w:t>
      </w:r>
      <w:r w:rsidR="002C7D04">
        <w:t xml:space="preserve">one site </w:t>
      </w:r>
      <w:r w:rsidR="00930988">
        <w:t>was seen as a barrier to the effective delivery of the service</w:t>
      </w:r>
      <w:r w:rsidR="004232A7">
        <w:t xml:space="preserve">. </w:t>
      </w:r>
      <w:r w:rsidR="001B7850">
        <w:t>From 2016 the team ha</w:t>
      </w:r>
      <w:r w:rsidR="00930988">
        <w:t>s</w:t>
      </w:r>
      <w:r w:rsidR="00DE333F">
        <w:t xml:space="preserve"> </w:t>
      </w:r>
      <w:r w:rsidR="001B7850">
        <w:t>been located</w:t>
      </w:r>
      <w:r w:rsidR="00DE333F">
        <w:t xml:space="preserve"> across </w:t>
      </w:r>
      <w:r>
        <w:t xml:space="preserve">both </w:t>
      </w:r>
      <w:r w:rsidR="00452FC3">
        <w:t xml:space="preserve">sites with a </w:t>
      </w:r>
      <w:r w:rsidR="0078028C">
        <w:t>p</w:t>
      </w:r>
      <w:r w:rsidR="00452FC3">
        <w:t xml:space="preserve">urchasing </w:t>
      </w:r>
      <w:r w:rsidR="0078028C">
        <w:t>m</w:t>
      </w:r>
      <w:r w:rsidR="00452FC3">
        <w:t xml:space="preserve">anager </w:t>
      </w:r>
      <w:r>
        <w:t>on each site</w:t>
      </w:r>
      <w:r w:rsidR="004232A7">
        <w:t xml:space="preserve">. </w:t>
      </w:r>
      <w:r>
        <w:t xml:space="preserve">This </w:t>
      </w:r>
      <w:r w:rsidR="00260602">
        <w:t>help</w:t>
      </w:r>
      <w:r>
        <w:t xml:space="preserve">s procurement to be more </w:t>
      </w:r>
      <w:r w:rsidR="001E4458">
        <w:t>pro-active</w:t>
      </w:r>
      <w:r w:rsidR="0078028C">
        <w:t>,</w:t>
      </w:r>
      <w:r w:rsidR="00930988">
        <w:t xml:space="preserve"> and allows for a personal touch.</w:t>
      </w:r>
      <w:r>
        <w:t xml:space="preserve"> </w:t>
      </w:r>
    </w:p>
    <w:p w:rsidR="00452FC3" w:rsidRDefault="00452FC3" w:rsidP="00A804C2">
      <w:pPr>
        <w:jc w:val="both"/>
      </w:pPr>
    </w:p>
    <w:p w:rsidR="00930988" w:rsidRDefault="00452FC3" w:rsidP="00A804C2">
      <w:pPr>
        <w:jc w:val="both"/>
      </w:pPr>
      <w:r>
        <w:t>T</w:t>
      </w:r>
      <w:r w:rsidR="00AA4169">
        <w:t>he effectivene</w:t>
      </w:r>
      <w:r>
        <w:t>ss of this structure was reviewed during 2017</w:t>
      </w:r>
      <w:r w:rsidR="0078028C">
        <w:t>,</w:t>
      </w:r>
      <w:r w:rsidR="00AA4169">
        <w:t xml:space="preserve"> which resulted in an additional post b</w:t>
      </w:r>
      <w:r w:rsidR="0078028C">
        <w:t>eing created to support the p</w:t>
      </w:r>
      <w:r>
        <w:t xml:space="preserve">urchasing </w:t>
      </w:r>
      <w:r w:rsidR="0078028C">
        <w:t>m</w:t>
      </w:r>
      <w:r>
        <w:t>anager</w:t>
      </w:r>
      <w:r w:rsidR="0078028C">
        <w:t xml:space="preserve"> at</w:t>
      </w:r>
      <w:r w:rsidR="00930988">
        <w:t xml:space="preserve"> Optima</w:t>
      </w:r>
      <w:r w:rsidR="004232A7">
        <w:t xml:space="preserve">. </w:t>
      </w:r>
    </w:p>
    <w:p w:rsidR="00AE00BA" w:rsidRDefault="00AE00BA" w:rsidP="00A804C2">
      <w:pPr>
        <w:jc w:val="both"/>
      </w:pPr>
    </w:p>
    <w:p w:rsidR="00AF694E" w:rsidRDefault="00AE00BA" w:rsidP="00A804C2">
      <w:pPr>
        <w:jc w:val="both"/>
      </w:pPr>
      <w:r>
        <w:t>In 20</w:t>
      </w:r>
      <w:r w:rsidR="0078028C">
        <w:t>17–18</w:t>
      </w:r>
      <w:r w:rsidR="00AF694E">
        <w:t xml:space="preserve"> SQA spent </w:t>
      </w:r>
      <w:r w:rsidR="001853C5">
        <w:t>£25</w:t>
      </w:r>
      <w:r w:rsidR="00DD3E73">
        <w:t xml:space="preserve">m on goods and services with more than </w:t>
      </w:r>
      <w:r w:rsidR="001853C5">
        <w:t>530 suppliers, with over 88</w:t>
      </w:r>
      <w:r w:rsidR="00C362B4">
        <w:t>% of these suppliers being SME</w:t>
      </w:r>
      <w:r w:rsidR="00F42589">
        <w:t>s or local to SQA.</w:t>
      </w:r>
    </w:p>
    <w:p w:rsidR="00764B7D" w:rsidRDefault="00764B7D" w:rsidP="00A804C2">
      <w:pPr>
        <w:jc w:val="both"/>
      </w:pPr>
    </w:p>
    <w:p w:rsidR="00F908CA" w:rsidRDefault="0010454D" w:rsidP="00A804C2">
      <w:pPr>
        <w:jc w:val="both"/>
      </w:pPr>
      <w:r>
        <w:t>Append</w:t>
      </w:r>
      <w:r w:rsidR="00AD05F3">
        <w:t>ix 1 provides a breakdown of</w:t>
      </w:r>
      <w:r>
        <w:t xml:space="preserve"> spend in excess of £50,000</w:t>
      </w:r>
      <w:r w:rsidR="0078028C">
        <w:t>,</w:t>
      </w:r>
      <w:r w:rsidR="005D409D">
        <w:t xml:space="preserve"> by supplier.</w:t>
      </w:r>
    </w:p>
    <w:p w:rsidR="00764B7D" w:rsidRDefault="006E4880" w:rsidP="00A804C2">
      <w:pPr>
        <w:tabs>
          <w:tab w:val="left" w:pos="3210"/>
        </w:tabs>
        <w:jc w:val="both"/>
      </w:pPr>
      <w:r>
        <w:tab/>
      </w:r>
    </w:p>
    <w:p w:rsidR="00F42589" w:rsidRDefault="00F42589" w:rsidP="00A804C2">
      <w:pPr>
        <w:jc w:val="both"/>
      </w:pPr>
    </w:p>
    <w:p w:rsidR="0010454D" w:rsidRDefault="0010454D" w:rsidP="00A804C2">
      <w:pPr>
        <w:jc w:val="both"/>
      </w:pPr>
    </w:p>
    <w:p w:rsidR="0010454D" w:rsidRPr="00F70F2C" w:rsidRDefault="0010454D" w:rsidP="00A804C2">
      <w:pPr>
        <w:pStyle w:val="Heading1"/>
        <w:jc w:val="both"/>
      </w:pPr>
      <w:bookmarkStart w:id="4" w:name="_Toc523232505"/>
      <w:bookmarkStart w:id="5" w:name="_Toc523234804"/>
      <w:r>
        <w:t>Objectives</w:t>
      </w:r>
      <w:bookmarkEnd w:id="4"/>
      <w:bookmarkEnd w:id="5"/>
    </w:p>
    <w:p w:rsidR="00102C2A" w:rsidRDefault="00102C2A" w:rsidP="00A804C2">
      <w:pPr>
        <w:pStyle w:val="ListParagraph"/>
        <w:jc w:val="both"/>
      </w:pPr>
    </w:p>
    <w:p w:rsidR="0010454D" w:rsidRDefault="0010454D" w:rsidP="00A804C2">
      <w:pPr>
        <w:jc w:val="both"/>
      </w:pPr>
      <w:r>
        <w:t xml:space="preserve">The key objectives identified </w:t>
      </w:r>
      <w:r w:rsidR="00102C2A">
        <w:t xml:space="preserve">and measured </w:t>
      </w:r>
      <w:r w:rsidR="003351B7">
        <w:t>for this period included:</w:t>
      </w:r>
    </w:p>
    <w:p w:rsidR="003351B7" w:rsidRDefault="003351B7" w:rsidP="00A804C2">
      <w:pPr>
        <w:pStyle w:val="ListParagraph"/>
        <w:jc w:val="both"/>
      </w:pPr>
    </w:p>
    <w:p w:rsidR="003351B7" w:rsidRDefault="003351B7" w:rsidP="00A804C2">
      <w:pPr>
        <w:pStyle w:val="ListParagraph"/>
        <w:numPr>
          <w:ilvl w:val="0"/>
          <w:numId w:val="22"/>
        </w:numPr>
        <w:jc w:val="both"/>
      </w:pPr>
      <w:r>
        <w:t xml:space="preserve">Review of the </w:t>
      </w:r>
      <w:r w:rsidR="0078028C">
        <w:t>p</w:t>
      </w:r>
      <w:r>
        <w:t xml:space="preserve">rocurement </w:t>
      </w:r>
      <w:r w:rsidR="0078028C">
        <w:t>s</w:t>
      </w:r>
      <w:r>
        <w:t>trat</w:t>
      </w:r>
      <w:r w:rsidR="00102C2A">
        <w:t>egy</w:t>
      </w:r>
      <w:r w:rsidR="00DE333F">
        <w:t xml:space="preserve"> to</w:t>
      </w:r>
      <w:r w:rsidR="001D3157">
        <w:t xml:space="preserve"> include upcoming </w:t>
      </w:r>
      <w:r w:rsidR="0078028C">
        <w:t>c</w:t>
      </w:r>
      <w:r w:rsidR="001D3157">
        <w:t>ontracts</w:t>
      </w:r>
    </w:p>
    <w:p w:rsidR="001D3157" w:rsidRDefault="0078028C" w:rsidP="00A804C2">
      <w:pPr>
        <w:pStyle w:val="ListParagraph"/>
        <w:numPr>
          <w:ilvl w:val="0"/>
          <w:numId w:val="22"/>
        </w:numPr>
        <w:jc w:val="both"/>
      </w:pPr>
      <w:r>
        <w:t>Publi</w:t>
      </w:r>
      <w:r w:rsidR="00DE113F">
        <w:t>cation</w:t>
      </w:r>
      <w:r>
        <w:t xml:space="preserve"> </w:t>
      </w:r>
      <w:r w:rsidR="00DE113F">
        <w:t xml:space="preserve">of </w:t>
      </w:r>
      <w:r>
        <w:t>the procurement s</w:t>
      </w:r>
      <w:r w:rsidR="001D3157">
        <w:t xml:space="preserve">trategy </w:t>
      </w:r>
    </w:p>
    <w:p w:rsidR="001D3157" w:rsidRDefault="00DE333F" w:rsidP="00A804C2">
      <w:pPr>
        <w:pStyle w:val="ListParagraph"/>
        <w:numPr>
          <w:ilvl w:val="0"/>
          <w:numId w:val="22"/>
        </w:numPr>
        <w:jc w:val="both"/>
      </w:pPr>
      <w:r>
        <w:t>P</w:t>
      </w:r>
      <w:r w:rsidR="001D3157">
        <w:t>ubli</w:t>
      </w:r>
      <w:r w:rsidR="00DE113F">
        <w:t>cation</w:t>
      </w:r>
      <w:r w:rsidR="001D3157">
        <w:t xml:space="preserve"> and </w:t>
      </w:r>
      <w:r w:rsidR="0078028C">
        <w:t>u</w:t>
      </w:r>
      <w:r w:rsidR="001D3157">
        <w:t xml:space="preserve">pdate </w:t>
      </w:r>
      <w:r w:rsidR="00DE113F">
        <w:t xml:space="preserve">of </w:t>
      </w:r>
      <w:r w:rsidR="001D3157">
        <w:t>the list of current contracts</w:t>
      </w:r>
      <w:r>
        <w:t xml:space="preserve"> on SQA’s external </w:t>
      </w:r>
      <w:r w:rsidR="0010327E">
        <w:t>w</w:t>
      </w:r>
      <w:r>
        <w:t>eb</w:t>
      </w:r>
      <w:r w:rsidR="0010327E">
        <w:t>site</w:t>
      </w:r>
    </w:p>
    <w:p w:rsidR="003351B7" w:rsidRDefault="003351B7" w:rsidP="00A804C2">
      <w:pPr>
        <w:pStyle w:val="ListParagraph"/>
        <w:numPr>
          <w:ilvl w:val="0"/>
          <w:numId w:val="22"/>
        </w:numPr>
        <w:jc w:val="both"/>
      </w:pPr>
      <w:r w:rsidRPr="003351B7">
        <w:t xml:space="preserve">Delivery of </w:t>
      </w:r>
      <w:r w:rsidR="0010327E">
        <w:t>p</w:t>
      </w:r>
      <w:r w:rsidRPr="003351B7">
        <w:t xml:space="preserve">rocurement </w:t>
      </w:r>
      <w:r w:rsidR="0010327E">
        <w:t>s</w:t>
      </w:r>
      <w:r w:rsidRPr="003351B7">
        <w:t xml:space="preserve">avings </w:t>
      </w:r>
    </w:p>
    <w:p w:rsidR="003351B7" w:rsidRPr="003351B7" w:rsidRDefault="00102C2A" w:rsidP="00A804C2">
      <w:pPr>
        <w:pStyle w:val="ListParagraph"/>
        <w:numPr>
          <w:ilvl w:val="0"/>
          <w:numId w:val="22"/>
        </w:numPr>
        <w:jc w:val="both"/>
      </w:pPr>
      <w:r>
        <w:t>R</w:t>
      </w:r>
      <w:r w:rsidR="003351B7" w:rsidRPr="003351B7">
        <w:t>eview of processes and</w:t>
      </w:r>
      <w:r w:rsidR="003351B7">
        <w:t xml:space="preserve"> templates </w:t>
      </w:r>
      <w:r w:rsidR="003351B7" w:rsidRPr="003351B7">
        <w:t xml:space="preserve">to </w:t>
      </w:r>
      <w:r w:rsidR="00DE113F">
        <w:t xml:space="preserve">ensure full compliance with </w:t>
      </w:r>
      <w:r w:rsidR="003351B7" w:rsidRPr="003351B7">
        <w:t xml:space="preserve">new </w:t>
      </w:r>
      <w:r w:rsidR="0010327E">
        <w:t>requirements</w:t>
      </w:r>
    </w:p>
    <w:p w:rsidR="003351B7" w:rsidRPr="003351B7" w:rsidRDefault="003351B7" w:rsidP="00A804C2">
      <w:pPr>
        <w:pStyle w:val="ListParagraph"/>
        <w:numPr>
          <w:ilvl w:val="0"/>
          <w:numId w:val="21"/>
        </w:numPr>
        <w:jc w:val="both"/>
        <w:rPr>
          <w:b/>
        </w:rPr>
      </w:pPr>
      <w:r>
        <w:t>Re-organisation of the department</w:t>
      </w:r>
      <w:r w:rsidR="001E4458">
        <w:t xml:space="preserve"> to improve </w:t>
      </w:r>
      <w:r w:rsidR="008D15DC">
        <w:t>effectiveness</w:t>
      </w:r>
    </w:p>
    <w:p w:rsidR="003351B7" w:rsidRPr="003351B7" w:rsidRDefault="003351B7" w:rsidP="00A804C2">
      <w:pPr>
        <w:pStyle w:val="ListParagraph"/>
        <w:numPr>
          <w:ilvl w:val="0"/>
          <w:numId w:val="21"/>
        </w:numPr>
        <w:jc w:val="both"/>
        <w:rPr>
          <w:b/>
        </w:rPr>
      </w:pPr>
      <w:r>
        <w:t>Implement</w:t>
      </w:r>
      <w:r w:rsidR="00DE113F">
        <w:t>at</w:t>
      </w:r>
      <w:r>
        <w:t>i</w:t>
      </w:r>
      <w:r w:rsidR="00DE113F">
        <w:t>o</w:t>
      </w:r>
      <w:r>
        <w:t xml:space="preserve">n </w:t>
      </w:r>
      <w:r w:rsidR="00DE113F">
        <w:t xml:space="preserve">of </w:t>
      </w:r>
      <w:r>
        <w:t>category management procurement</w:t>
      </w:r>
    </w:p>
    <w:p w:rsidR="00102C2A" w:rsidRPr="00102C2A" w:rsidRDefault="003351B7" w:rsidP="00A804C2">
      <w:pPr>
        <w:pStyle w:val="ListParagraph"/>
        <w:numPr>
          <w:ilvl w:val="0"/>
          <w:numId w:val="21"/>
        </w:numPr>
        <w:jc w:val="both"/>
        <w:rPr>
          <w:b/>
        </w:rPr>
      </w:pPr>
      <w:r w:rsidRPr="00102C2A">
        <w:t>Develop</w:t>
      </w:r>
      <w:r w:rsidR="00DE113F">
        <w:t xml:space="preserve">ment of </w:t>
      </w:r>
      <w:r w:rsidRPr="00102C2A">
        <w:t>training plans</w:t>
      </w:r>
    </w:p>
    <w:p w:rsidR="003351B7" w:rsidRPr="00102C2A" w:rsidRDefault="003351B7" w:rsidP="00A804C2">
      <w:pPr>
        <w:pStyle w:val="ListParagraph"/>
        <w:numPr>
          <w:ilvl w:val="0"/>
          <w:numId w:val="21"/>
        </w:numPr>
        <w:jc w:val="both"/>
        <w:rPr>
          <w:b/>
        </w:rPr>
      </w:pPr>
      <w:r w:rsidRPr="00102C2A">
        <w:t>Promoti</w:t>
      </w:r>
      <w:r w:rsidR="00DE113F">
        <w:t>o</w:t>
      </w:r>
      <w:r w:rsidRPr="00102C2A">
        <w:t xml:space="preserve">n </w:t>
      </w:r>
      <w:r w:rsidR="00DE113F">
        <w:t xml:space="preserve">of </w:t>
      </w:r>
      <w:r w:rsidRPr="00102C2A">
        <w:t>delivery of SQA’s and Scottish Government</w:t>
      </w:r>
      <w:r w:rsidR="0010327E">
        <w:t>’s</w:t>
      </w:r>
      <w:r w:rsidRPr="00102C2A">
        <w:t xml:space="preserve"> CSR values</w:t>
      </w:r>
    </w:p>
    <w:p w:rsidR="003351B7" w:rsidRPr="003351B7" w:rsidRDefault="003351B7" w:rsidP="00A804C2">
      <w:pPr>
        <w:pStyle w:val="ListParagraph"/>
        <w:numPr>
          <w:ilvl w:val="0"/>
          <w:numId w:val="21"/>
        </w:numPr>
        <w:jc w:val="both"/>
        <w:rPr>
          <w:b/>
        </w:rPr>
      </w:pPr>
      <w:r>
        <w:t xml:space="preserve">Support </w:t>
      </w:r>
      <w:r w:rsidR="00DE113F">
        <w:t xml:space="preserve">for </w:t>
      </w:r>
      <w:r>
        <w:t>SQA’s income generation opportunities</w:t>
      </w:r>
    </w:p>
    <w:p w:rsidR="003351B7" w:rsidRPr="007F3F98" w:rsidRDefault="003351B7" w:rsidP="00A804C2">
      <w:pPr>
        <w:pStyle w:val="ListParagraph"/>
        <w:numPr>
          <w:ilvl w:val="0"/>
          <w:numId w:val="21"/>
        </w:numPr>
        <w:jc w:val="both"/>
        <w:rPr>
          <w:b/>
        </w:rPr>
      </w:pPr>
      <w:r>
        <w:t>Programme of tendering to support SQA</w:t>
      </w:r>
      <w:r>
        <w:rPr>
          <w:b/>
        </w:rPr>
        <w:t xml:space="preserve"> </w:t>
      </w:r>
      <w:r>
        <w:t>delivery</w:t>
      </w:r>
    </w:p>
    <w:p w:rsidR="000A1295" w:rsidRDefault="000A1295" w:rsidP="00A804C2">
      <w:pPr>
        <w:pStyle w:val="ListParagraph"/>
        <w:jc w:val="both"/>
      </w:pPr>
    </w:p>
    <w:p w:rsidR="001D3157" w:rsidRPr="00F836F9" w:rsidRDefault="001D3157" w:rsidP="00A804C2">
      <w:pPr>
        <w:jc w:val="both"/>
        <w:rPr>
          <w:b/>
        </w:rPr>
      </w:pPr>
      <w:r w:rsidRPr="00F836F9">
        <w:rPr>
          <w:b/>
        </w:rPr>
        <w:t>All objectives identified above have been completed/implemented.</w:t>
      </w:r>
    </w:p>
    <w:p w:rsidR="007F3F98" w:rsidRDefault="007F3F98" w:rsidP="00A804C2">
      <w:pPr>
        <w:jc w:val="both"/>
      </w:pPr>
    </w:p>
    <w:p w:rsidR="000A1603" w:rsidRPr="00AD05F3" w:rsidRDefault="000A1603" w:rsidP="00A804C2">
      <w:pPr>
        <w:jc w:val="both"/>
      </w:pPr>
    </w:p>
    <w:p w:rsidR="00251525" w:rsidRDefault="00251525" w:rsidP="00A804C2">
      <w:pPr>
        <w:jc w:val="both"/>
      </w:pPr>
      <w:r>
        <w:br w:type="page"/>
      </w:r>
    </w:p>
    <w:p w:rsidR="003351B7" w:rsidRPr="00262D6B" w:rsidRDefault="00251525" w:rsidP="00A804C2">
      <w:pPr>
        <w:pStyle w:val="Heading1"/>
        <w:jc w:val="both"/>
      </w:pPr>
      <w:bookmarkStart w:id="6" w:name="_Toc523232506"/>
      <w:bookmarkStart w:id="7" w:name="_Toc523234805"/>
      <w:r w:rsidRPr="00262D6B">
        <w:t>Achieving the best value for money</w:t>
      </w:r>
      <w:bookmarkEnd w:id="6"/>
      <w:bookmarkEnd w:id="7"/>
    </w:p>
    <w:p w:rsidR="00251525" w:rsidRDefault="00251525" w:rsidP="00A804C2">
      <w:pPr>
        <w:jc w:val="both"/>
      </w:pPr>
    </w:p>
    <w:p w:rsidR="00251525" w:rsidRDefault="00251525" w:rsidP="00A804C2">
      <w:pPr>
        <w:pStyle w:val="Heading2"/>
        <w:jc w:val="both"/>
      </w:pPr>
      <w:bookmarkStart w:id="8" w:name="_Toc523232507"/>
      <w:bookmarkStart w:id="9" w:name="_Toc523234806"/>
      <w:r w:rsidRPr="00F836F9">
        <w:t>Category</w:t>
      </w:r>
      <w:r w:rsidRPr="00251525">
        <w:t xml:space="preserve"> </w:t>
      </w:r>
      <w:r w:rsidR="00172B19" w:rsidRPr="00A35FA7">
        <w:t>m</w:t>
      </w:r>
      <w:r w:rsidRPr="00A35FA7">
        <w:t>anagement</w:t>
      </w:r>
      <w:bookmarkEnd w:id="8"/>
      <w:bookmarkEnd w:id="9"/>
    </w:p>
    <w:p w:rsidR="00251525" w:rsidRDefault="00251525" w:rsidP="00A804C2">
      <w:pPr>
        <w:jc w:val="both"/>
      </w:pPr>
      <w:r>
        <w:t xml:space="preserve">A review of the team </w:t>
      </w:r>
      <w:r w:rsidR="00A1547D">
        <w:t xml:space="preserve">structure </w:t>
      </w:r>
      <w:r w:rsidR="001E0C13">
        <w:t>determined it was not optimum for the delivery of the business change programme and for the</w:t>
      </w:r>
      <w:r w:rsidR="00A1547D">
        <w:t xml:space="preserve"> sustainability of SQA’s longer-</w:t>
      </w:r>
      <w:r w:rsidR="001E0C13">
        <w:t>term objectives.</w:t>
      </w:r>
    </w:p>
    <w:p w:rsidR="001E0C13" w:rsidRDefault="001E0C13" w:rsidP="00A804C2">
      <w:pPr>
        <w:jc w:val="both"/>
      </w:pPr>
    </w:p>
    <w:p w:rsidR="00251525" w:rsidRDefault="001E0C13" w:rsidP="00A804C2">
      <w:pPr>
        <w:jc w:val="both"/>
      </w:pPr>
      <w:r>
        <w:t>The old structure was based on contract value and complexity</w:t>
      </w:r>
      <w:r w:rsidR="00A1547D">
        <w:t>,</w:t>
      </w:r>
      <w:r>
        <w:t xml:space="preserve"> with the </w:t>
      </w:r>
      <w:r w:rsidR="003C33D5">
        <w:t xml:space="preserve">entire </w:t>
      </w:r>
      <w:r>
        <w:t>team based in the Lowden office</w:t>
      </w:r>
      <w:r w:rsidR="004232A7">
        <w:t xml:space="preserve">. </w:t>
      </w:r>
      <w:r>
        <w:t>This did not support SQA’s or Scottish Government</w:t>
      </w:r>
      <w:r w:rsidR="00A1547D">
        <w:t>’</w:t>
      </w:r>
      <w:r>
        <w:t xml:space="preserve">s </w:t>
      </w:r>
      <w:r w:rsidR="00105230">
        <w:t>d</w:t>
      </w:r>
      <w:r>
        <w:t xml:space="preserve">igital </w:t>
      </w:r>
      <w:r w:rsidR="00105230">
        <w:t>age agenda</w:t>
      </w:r>
      <w:r w:rsidR="00A1547D">
        <w:t>,</w:t>
      </w:r>
      <w:r>
        <w:t xml:space="preserve"> or provide full SQA coverage</w:t>
      </w:r>
      <w:r w:rsidR="004232A7">
        <w:t xml:space="preserve">. </w:t>
      </w:r>
      <w:r>
        <w:t xml:space="preserve">It was identified </w:t>
      </w:r>
      <w:r w:rsidR="00A1547D">
        <w:t xml:space="preserve">that </w:t>
      </w:r>
      <w:r>
        <w:t xml:space="preserve">ICT </w:t>
      </w:r>
      <w:r w:rsidR="00DE333F">
        <w:t>contracts</w:t>
      </w:r>
      <w:r w:rsidR="00A1547D">
        <w:t xml:space="preserve"> and</w:t>
      </w:r>
      <w:r>
        <w:t xml:space="preserve"> the move </w:t>
      </w:r>
      <w:r w:rsidR="00C7627B">
        <w:t xml:space="preserve">to a </w:t>
      </w:r>
      <w:r>
        <w:t xml:space="preserve">managed services </w:t>
      </w:r>
      <w:r w:rsidR="00C7627B">
        <w:t xml:space="preserve">portfolio </w:t>
      </w:r>
      <w:r>
        <w:t>req</w:t>
      </w:r>
      <w:r w:rsidR="00C7627B">
        <w:t xml:space="preserve">uired a specialised </w:t>
      </w:r>
      <w:r w:rsidR="00A1547D">
        <w:t>p</w:t>
      </w:r>
      <w:r w:rsidR="00C7627B">
        <w:t xml:space="preserve">urchasing </w:t>
      </w:r>
      <w:r w:rsidR="00A1547D">
        <w:t>m</w:t>
      </w:r>
      <w:r w:rsidR="00C7627B">
        <w:t>anager</w:t>
      </w:r>
      <w:r w:rsidR="00A1547D">
        <w:t>’</w:t>
      </w:r>
      <w:r w:rsidR="00C7627B">
        <w:t xml:space="preserve">s role. </w:t>
      </w:r>
      <w:r w:rsidR="00260602">
        <w:t>Such a</w:t>
      </w:r>
      <w:r w:rsidR="00C7627B">
        <w:t xml:space="preserve"> post </w:t>
      </w:r>
      <w:r w:rsidR="00260602">
        <w:t>was</w:t>
      </w:r>
      <w:r w:rsidR="00A1547D">
        <w:t xml:space="preserve"> </w:t>
      </w:r>
      <w:r w:rsidR="00260602">
        <w:t xml:space="preserve">subsequently </w:t>
      </w:r>
      <w:r w:rsidR="00C7627B">
        <w:t>created within the Optima office</w:t>
      </w:r>
      <w:r w:rsidR="00A1547D">
        <w:t>,</w:t>
      </w:r>
      <w:r w:rsidR="00C7627B">
        <w:t xml:space="preserve"> embedded within Business Systems</w:t>
      </w:r>
      <w:r w:rsidR="004232A7">
        <w:t xml:space="preserve">. </w:t>
      </w:r>
      <w:r w:rsidR="00A1547D">
        <w:t>E</w:t>
      </w:r>
      <w:r w:rsidR="00DE333F">
        <w:t xml:space="preserve">ach </w:t>
      </w:r>
      <w:r w:rsidR="00A1547D">
        <w:t>p</w:t>
      </w:r>
      <w:r w:rsidR="00DE333F">
        <w:t xml:space="preserve">urchasing </w:t>
      </w:r>
      <w:r w:rsidR="00A1547D">
        <w:t>m</w:t>
      </w:r>
      <w:r w:rsidR="00DE333F">
        <w:t xml:space="preserve">anager was </w:t>
      </w:r>
      <w:r w:rsidR="00A1547D">
        <w:t xml:space="preserve">then </w:t>
      </w:r>
      <w:r w:rsidR="00DE333F">
        <w:t>allocated their dedicated categories, which identified the business areas they would manage</w:t>
      </w:r>
    </w:p>
    <w:p w:rsidR="00951115" w:rsidRDefault="00951115" w:rsidP="00A804C2">
      <w:pPr>
        <w:jc w:val="both"/>
      </w:pPr>
    </w:p>
    <w:p w:rsidR="00752BE3" w:rsidRDefault="00752BE3" w:rsidP="00A804C2">
      <w:pPr>
        <w:jc w:val="both"/>
      </w:pPr>
      <w:r>
        <w:t xml:space="preserve">The </w:t>
      </w:r>
      <w:r w:rsidR="001E4458">
        <w:t>Category split are as follows:</w:t>
      </w:r>
    </w:p>
    <w:p w:rsidR="00752BE3" w:rsidRDefault="00752BE3" w:rsidP="00A804C2">
      <w:pPr>
        <w:pStyle w:val="ListParagraph"/>
        <w:jc w:val="both"/>
      </w:pPr>
    </w:p>
    <w:p w:rsidR="00DE333F" w:rsidRDefault="001E4458" w:rsidP="00A804C2">
      <w:pPr>
        <w:jc w:val="both"/>
      </w:pPr>
      <w:r>
        <w:t>Category Group A</w:t>
      </w:r>
    </w:p>
    <w:p w:rsidR="00DE333F" w:rsidRDefault="00DE333F" w:rsidP="00A804C2">
      <w:pPr>
        <w:jc w:val="both"/>
      </w:pPr>
      <w:r>
        <w:tab/>
      </w:r>
      <w:r>
        <w:tab/>
      </w:r>
      <w:r>
        <w:tab/>
        <w:t xml:space="preserve">Print and </w:t>
      </w:r>
      <w:r w:rsidR="00046905">
        <w:t>De</w:t>
      </w:r>
      <w:r>
        <w:t>spatch</w:t>
      </w:r>
    </w:p>
    <w:p w:rsidR="00DE333F" w:rsidRDefault="00DE333F" w:rsidP="00A804C2">
      <w:pPr>
        <w:jc w:val="both"/>
      </w:pPr>
      <w:r>
        <w:tab/>
      </w:r>
      <w:r>
        <w:tab/>
      </w:r>
      <w:r>
        <w:tab/>
        <w:t xml:space="preserve">Professional </w:t>
      </w:r>
      <w:r w:rsidR="00046905">
        <w:t>S</w:t>
      </w:r>
      <w:r>
        <w:t>ervices</w:t>
      </w:r>
    </w:p>
    <w:p w:rsidR="00DE333F" w:rsidRDefault="00DE333F" w:rsidP="00A804C2">
      <w:pPr>
        <w:jc w:val="both"/>
      </w:pPr>
      <w:r>
        <w:tab/>
      </w:r>
      <w:r>
        <w:tab/>
      </w:r>
      <w:r>
        <w:tab/>
        <w:t>HR and Corporate Services</w:t>
      </w:r>
      <w:r w:rsidR="00046905">
        <w:t>,</w:t>
      </w:r>
      <w:r>
        <w:t xml:space="preserve"> including </w:t>
      </w:r>
      <w:r w:rsidR="00046905">
        <w:t>l</w:t>
      </w:r>
      <w:r>
        <w:t>egal</w:t>
      </w:r>
    </w:p>
    <w:p w:rsidR="00DE333F" w:rsidRDefault="00DE333F" w:rsidP="00A804C2">
      <w:pPr>
        <w:jc w:val="both"/>
      </w:pPr>
      <w:r>
        <w:tab/>
      </w:r>
      <w:r>
        <w:tab/>
      </w:r>
      <w:r>
        <w:tab/>
        <w:t>Facilities Management</w:t>
      </w:r>
    </w:p>
    <w:p w:rsidR="00DE333F" w:rsidRDefault="00DE333F" w:rsidP="00A804C2">
      <w:pPr>
        <w:jc w:val="both"/>
      </w:pPr>
      <w:r>
        <w:tab/>
      </w:r>
      <w:r>
        <w:tab/>
      </w:r>
      <w:r>
        <w:tab/>
        <w:t>Marketing</w:t>
      </w:r>
    </w:p>
    <w:p w:rsidR="00DE333F" w:rsidRPr="00DE333F" w:rsidRDefault="00DE333F" w:rsidP="00A804C2">
      <w:pPr>
        <w:jc w:val="both"/>
      </w:pPr>
    </w:p>
    <w:p w:rsidR="00DE333F" w:rsidRDefault="001E4458" w:rsidP="00A804C2">
      <w:pPr>
        <w:jc w:val="both"/>
      </w:pPr>
      <w:r>
        <w:t>Category Group B</w:t>
      </w:r>
      <w:r w:rsidR="00DE333F">
        <w:t>:</w:t>
      </w:r>
    </w:p>
    <w:p w:rsidR="00DE333F" w:rsidRDefault="00DE333F" w:rsidP="00A804C2">
      <w:pPr>
        <w:jc w:val="both"/>
      </w:pPr>
      <w:r>
        <w:tab/>
      </w:r>
      <w:r>
        <w:tab/>
      </w:r>
      <w:r>
        <w:tab/>
        <w:t xml:space="preserve">ICT </w:t>
      </w:r>
      <w:r w:rsidR="00046905">
        <w:t>c</w:t>
      </w:r>
      <w:r>
        <w:t>ontracts</w:t>
      </w:r>
    </w:p>
    <w:p w:rsidR="00DE333F" w:rsidRDefault="00DE333F" w:rsidP="00A804C2">
      <w:pPr>
        <w:jc w:val="both"/>
      </w:pPr>
      <w:r>
        <w:tab/>
      </w:r>
      <w:r>
        <w:tab/>
      </w:r>
      <w:r>
        <w:tab/>
        <w:t xml:space="preserve">Qualification </w:t>
      </w:r>
      <w:r w:rsidR="00046905">
        <w:t>s</w:t>
      </w:r>
      <w:r>
        <w:t>pecialists</w:t>
      </w:r>
    </w:p>
    <w:p w:rsidR="00DE333F" w:rsidRDefault="00DE333F" w:rsidP="00A804C2">
      <w:pPr>
        <w:jc w:val="both"/>
      </w:pPr>
      <w:r>
        <w:tab/>
      </w:r>
      <w:r>
        <w:tab/>
      </w:r>
      <w:r>
        <w:tab/>
        <w:t xml:space="preserve">Business </w:t>
      </w:r>
      <w:r w:rsidR="00046905">
        <w:t>d</w:t>
      </w:r>
      <w:r>
        <w:t xml:space="preserve">evelopment </w:t>
      </w:r>
      <w:r w:rsidR="00046905">
        <w:t>o</w:t>
      </w:r>
      <w:r>
        <w:t>pportunities</w:t>
      </w:r>
    </w:p>
    <w:p w:rsidR="00752BE3" w:rsidRDefault="00752BE3" w:rsidP="00A804C2">
      <w:pPr>
        <w:jc w:val="both"/>
      </w:pPr>
      <w:r>
        <w:tab/>
      </w:r>
    </w:p>
    <w:p w:rsidR="00752BE3" w:rsidRDefault="00752BE3" w:rsidP="00A804C2">
      <w:pPr>
        <w:jc w:val="both"/>
      </w:pPr>
    </w:p>
    <w:p w:rsidR="00603B57" w:rsidRDefault="001E4458" w:rsidP="00A804C2">
      <w:pPr>
        <w:jc w:val="both"/>
      </w:pPr>
      <w:r>
        <w:t>Category Group C</w:t>
      </w:r>
      <w:r w:rsidR="00603B57" w:rsidRPr="00603B57">
        <w:t>:</w:t>
      </w:r>
    </w:p>
    <w:p w:rsidR="00973E07" w:rsidRDefault="00973E07" w:rsidP="00A804C2">
      <w:pPr>
        <w:jc w:val="both"/>
      </w:pPr>
      <w:r>
        <w:tab/>
      </w:r>
      <w:r w:rsidR="00DE333F">
        <w:tab/>
      </w:r>
      <w:r w:rsidR="00DE333F">
        <w:tab/>
      </w:r>
      <w:r>
        <w:t xml:space="preserve">Travel </w:t>
      </w:r>
      <w:r w:rsidR="00603B57">
        <w:t>and</w:t>
      </w:r>
      <w:r>
        <w:t xml:space="preserve"> </w:t>
      </w:r>
      <w:r w:rsidR="00046905">
        <w:t>a</w:t>
      </w:r>
      <w:r>
        <w:t>ccommodation</w:t>
      </w:r>
    </w:p>
    <w:p w:rsidR="00973E07" w:rsidRDefault="00973E07" w:rsidP="00A804C2">
      <w:pPr>
        <w:jc w:val="both"/>
      </w:pPr>
      <w:r>
        <w:tab/>
      </w:r>
      <w:r w:rsidR="00DE333F">
        <w:tab/>
      </w:r>
      <w:r w:rsidR="00DE333F">
        <w:tab/>
      </w:r>
      <w:r>
        <w:t xml:space="preserve">International </w:t>
      </w:r>
      <w:r w:rsidR="00046905">
        <w:t>t</w:t>
      </w:r>
      <w:r>
        <w:t>ravel</w:t>
      </w:r>
    </w:p>
    <w:p w:rsidR="00973E07" w:rsidRDefault="00973E07" w:rsidP="00A804C2">
      <w:pPr>
        <w:jc w:val="both"/>
      </w:pPr>
      <w:r>
        <w:tab/>
      </w:r>
      <w:r w:rsidR="00DE333F">
        <w:tab/>
      </w:r>
      <w:r w:rsidR="00DE333F">
        <w:tab/>
      </w:r>
      <w:r>
        <w:t xml:space="preserve">Car </w:t>
      </w:r>
      <w:r w:rsidR="00046905">
        <w:t>h</w:t>
      </w:r>
      <w:r>
        <w:t>ire</w:t>
      </w:r>
    </w:p>
    <w:p w:rsidR="00B828B8" w:rsidRDefault="00B828B8" w:rsidP="00A804C2">
      <w:pPr>
        <w:jc w:val="both"/>
      </w:pPr>
      <w:r>
        <w:tab/>
      </w:r>
      <w:r>
        <w:tab/>
      </w:r>
      <w:r>
        <w:tab/>
        <w:t xml:space="preserve">Event </w:t>
      </w:r>
      <w:r w:rsidR="00046905">
        <w:t>p</w:t>
      </w:r>
      <w:r>
        <w:t>lanning</w:t>
      </w:r>
    </w:p>
    <w:p w:rsidR="00251525" w:rsidRPr="00973E07" w:rsidRDefault="00973E07" w:rsidP="00A804C2">
      <w:pPr>
        <w:pStyle w:val="ListParagraph"/>
        <w:jc w:val="both"/>
      </w:pPr>
      <w:r>
        <w:tab/>
      </w:r>
    </w:p>
    <w:p w:rsidR="00251525" w:rsidRDefault="00251525" w:rsidP="00A804C2">
      <w:pPr>
        <w:pStyle w:val="Heading2"/>
        <w:jc w:val="both"/>
      </w:pPr>
      <w:bookmarkStart w:id="10" w:name="_Toc523232508"/>
      <w:bookmarkStart w:id="11" w:name="_Toc523234807"/>
      <w:r w:rsidRPr="00752BE3">
        <w:t>Collaboration</w:t>
      </w:r>
      <w:bookmarkEnd w:id="10"/>
      <w:bookmarkEnd w:id="11"/>
    </w:p>
    <w:p w:rsidR="00752BE3" w:rsidRPr="00752BE3" w:rsidRDefault="00752BE3" w:rsidP="00A804C2">
      <w:pPr>
        <w:jc w:val="both"/>
      </w:pPr>
      <w:r>
        <w:t>SQA actively collaborate</w:t>
      </w:r>
      <w:r w:rsidR="003C33D5">
        <w:t>s</w:t>
      </w:r>
      <w:r>
        <w:t xml:space="preserve"> with Scottish Procurement and Crown </w:t>
      </w:r>
      <w:r w:rsidR="00A110AE">
        <w:t>Commercial</w:t>
      </w:r>
      <w:r>
        <w:t xml:space="preserve"> Services to ensure best value for SQA and </w:t>
      </w:r>
      <w:r w:rsidR="00A110AE">
        <w:t>maximise economies of scale</w:t>
      </w:r>
      <w:r w:rsidR="004232A7">
        <w:t xml:space="preserve">. </w:t>
      </w:r>
      <w:r w:rsidR="00260602">
        <w:t xml:space="preserve">Some </w:t>
      </w:r>
      <w:r w:rsidR="00A110AE">
        <w:t>45</w:t>
      </w:r>
      <w:r>
        <w:t>% of discretionary spend is accounted for by collaborat</w:t>
      </w:r>
      <w:r w:rsidR="003C33D5">
        <w:t>iv</w:t>
      </w:r>
      <w:r>
        <w:t>e contracts</w:t>
      </w:r>
      <w:r w:rsidR="004232A7">
        <w:t xml:space="preserve">. </w:t>
      </w:r>
      <w:r>
        <w:t xml:space="preserve">The </w:t>
      </w:r>
      <w:r w:rsidR="000E01C4">
        <w:t>procurement team</w:t>
      </w:r>
      <w:r>
        <w:t xml:space="preserve"> is actively involved with user intelligence groups and steering grou</w:t>
      </w:r>
      <w:r w:rsidR="000E01C4">
        <w:t>ps which help shape the way of p</w:t>
      </w:r>
      <w:r>
        <w:t>rocurement within Scotland.</w:t>
      </w:r>
    </w:p>
    <w:p w:rsidR="00951115" w:rsidRDefault="00951115" w:rsidP="00A804C2">
      <w:pPr>
        <w:jc w:val="both"/>
      </w:pPr>
    </w:p>
    <w:p w:rsidR="003C33D5" w:rsidRDefault="003C33D5" w:rsidP="00A804C2">
      <w:pPr>
        <w:jc w:val="both"/>
      </w:pPr>
    </w:p>
    <w:p w:rsidR="00251525" w:rsidRDefault="00172B19" w:rsidP="00A804C2">
      <w:pPr>
        <w:pStyle w:val="Heading2"/>
        <w:jc w:val="both"/>
      </w:pPr>
      <w:bookmarkStart w:id="12" w:name="_Toc523232509"/>
      <w:bookmarkStart w:id="13" w:name="_Toc523234808"/>
      <w:r>
        <w:t>Contract m</w:t>
      </w:r>
      <w:r w:rsidR="00251525" w:rsidRPr="00752BE3">
        <w:t>anagement</w:t>
      </w:r>
      <w:bookmarkEnd w:id="12"/>
      <w:bookmarkEnd w:id="13"/>
    </w:p>
    <w:p w:rsidR="00366473" w:rsidRDefault="00752BE3" w:rsidP="00A804C2">
      <w:pPr>
        <w:jc w:val="both"/>
      </w:pPr>
      <w:r>
        <w:t>SQA recognise</w:t>
      </w:r>
      <w:r w:rsidR="00C24779">
        <w:t>s</w:t>
      </w:r>
      <w:r>
        <w:t xml:space="preserve"> the importance of contract management</w:t>
      </w:r>
      <w:r w:rsidR="00260602">
        <w:t xml:space="preserve">, and </w:t>
      </w:r>
      <w:r w:rsidR="007E5B64">
        <w:t>prioritise</w:t>
      </w:r>
      <w:r w:rsidR="00260602">
        <w:t>s</w:t>
      </w:r>
      <w:r w:rsidR="007E5B64">
        <w:t xml:space="preserve"> </w:t>
      </w:r>
      <w:r w:rsidR="00260602">
        <w:t xml:space="preserve">contracts </w:t>
      </w:r>
      <w:r w:rsidR="00C24779">
        <w:t>a</w:t>
      </w:r>
      <w:r w:rsidR="00260602">
        <w:t>t</w:t>
      </w:r>
      <w:r w:rsidR="007E5B64">
        <w:t xml:space="preserve"> </w:t>
      </w:r>
      <w:r w:rsidR="00260602">
        <w:t xml:space="preserve">a </w:t>
      </w:r>
      <w:r w:rsidR="007E5B64">
        <w:t xml:space="preserve">low, medium or high level </w:t>
      </w:r>
      <w:r w:rsidR="00260602">
        <w:t>of importance</w:t>
      </w:r>
      <w:r w:rsidR="004232A7">
        <w:t xml:space="preserve">. </w:t>
      </w:r>
      <w:r w:rsidR="007E5B64">
        <w:t>The day to day running of the contracts i</w:t>
      </w:r>
      <w:r w:rsidR="000E01C4">
        <w:t>s managed by the end user</w:t>
      </w:r>
      <w:r w:rsidR="00C24779">
        <w:t>,</w:t>
      </w:r>
      <w:r w:rsidR="000E01C4">
        <w:t xml:space="preserve"> with p</w:t>
      </w:r>
      <w:r w:rsidR="007E5B64">
        <w:t>rocurement being involve</w:t>
      </w:r>
      <w:r w:rsidR="008B2645">
        <w:t>d</w:t>
      </w:r>
      <w:r w:rsidR="007E5B64">
        <w:t xml:space="preserve"> with th</w:t>
      </w:r>
      <w:r w:rsidR="000D60A4">
        <w:t>os</w:t>
      </w:r>
      <w:r w:rsidR="007E5B64">
        <w:t xml:space="preserve">e contracts identified as </w:t>
      </w:r>
      <w:r w:rsidR="000D60A4">
        <w:t xml:space="preserve">of </w:t>
      </w:r>
      <w:r w:rsidR="007E5B64">
        <w:t>high importance</w:t>
      </w:r>
      <w:r w:rsidR="00366473">
        <w:t>.</w:t>
      </w:r>
    </w:p>
    <w:p w:rsidR="00366473" w:rsidRDefault="00366473" w:rsidP="00A804C2">
      <w:pPr>
        <w:jc w:val="both"/>
      </w:pPr>
    </w:p>
    <w:p w:rsidR="007E5B64" w:rsidRDefault="007E5B64" w:rsidP="00A804C2">
      <w:pPr>
        <w:jc w:val="both"/>
      </w:pPr>
      <w:r>
        <w:t>There is a dedicated</w:t>
      </w:r>
      <w:r w:rsidR="00752BE3">
        <w:t xml:space="preserve"> </w:t>
      </w:r>
      <w:r w:rsidR="000D60A4">
        <w:t>s</w:t>
      </w:r>
      <w:r w:rsidR="00752BE3">
        <w:t xml:space="preserve">upplier </w:t>
      </w:r>
      <w:r w:rsidR="000D60A4">
        <w:t>m</w:t>
      </w:r>
      <w:r w:rsidR="00752BE3">
        <w:t>anager in Business Systems who reports directly to the</w:t>
      </w:r>
      <w:r>
        <w:t xml:space="preserve"> Director of Business Systems</w:t>
      </w:r>
      <w:r w:rsidR="000D60A4">
        <w:t>,</w:t>
      </w:r>
      <w:r>
        <w:t xml:space="preserve"> but </w:t>
      </w:r>
      <w:r w:rsidR="00366473">
        <w:t xml:space="preserve">who </w:t>
      </w:r>
      <w:r>
        <w:t xml:space="preserve">has close links with the </w:t>
      </w:r>
      <w:r w:rsidR="000D60A4">
        <w:t>p</w:t>
      </w:r>
      <w:r>
        <w:t xml:space="preserve">urchasing </w:t>
      </w:r>
      <w:r w:rsidR="000D60A4">
        <w:t>m</w:t>
      </w:r>
      <w:r>
        <w:t>anager.</w:t>
      </w:r>
    </w:p>
    <w:p w:rsidR="00D56C58" w:rsidRDefault="00D56C58" w:rsidP="00A804C2">
      <w:pPr>
        <w:jc w:val="both"/>
      </w:pPr>
    </w:p>
    <w:p w:rsidR="00451DF2" w:rsidRDefault="00366473" w:rsidP="00A804C2">
      <w:pPr>
        <w:jc w:val="both"/>
      </w:pPr>
      <w:r>
        <w:t>A</w:t>
      </w:r>
      <w:r w:rsidRPr="00366473">
        <w:t xml:space="preserve"> contracts analyst </w:t>
      </w:r>
      <w:r>
        <w:t>w</w:t>
      </w:r>
      <w:r w:rsidR="00B828B8">
        <w:t xml:space="preserve">ithin the </w:t>
      </w:r>
      <w:r w:rsidR="000E01C4">
        <w:t>procurement team</w:t>
      </w:r>
      <w:r w:rsidR="00B828B8">
        <w:t xml:space="preserve"> manages the travel, accommodation and events contracts</w:t>
      </w:r>
      <w:r w:rsidR="004232A7">
        <w:t xml:space="preserve">. </w:t>
      </w:r>
    </w:p>
    <w:p w:rsidR="007838AD" w:rsidRPr="00973E07" w:rsidRDefault="007838AD" w:rsidP="00A804C2">
      <w:pPr>
        <w:jc w:val="both"/>
      </w:pPr>
    </w:p>
    <w:p w:rsidR="00D56C58" w:rsidRDefault="00251525" w:rsidP="00A804C2">
      <w:pPr>
        <w:pStyle w:val="Heading2"/>
        <w:jc w:val="both"/>
      </w:pPr>
      <w:bookmarkStart w:id="14" w:name="_Toc523232510"/>
      <w:bookmarkStart w:id="15" w:name="_Toc523234809"/>
      <w:r w:rsidRPr="00451DF2">
        <w:t>Savings</w:t>
      </w:r>
      <w:bookmarkEnd w:id="14"/>
      <w:bookmarkEnd w:id="15"/>
    </w:p>
    <w:p w:rsidR="00A110AE" w:rsidRPr="00A110AE" w:rsidRDefault="00A110AE" w:rsidP="00A804C2">
      <w:pPr>
        <w:jc w:val="both"/>
      </w:pPr>
      <w:r>
        <w:t>The reported savings for the period w</w:t>
      </w:r>
      <w:r w:rsidR="00822D85">
        <w:t>ere</w:t>
      </w:r>
      <w:r w:rsidR="008D15DC">
        <w:t xml:space="preserve"> in excess of £2m which is inclusive of SQA’s contributed savings and Procurement Scotland’s reported savings</w:t>
      </w:r>
    </w:p>
    <w:p w:rsidR="00451DF2" w:rsidRPr="00451DF2" w:rsidRDefault="00451DF2" w:rsidP="00A804C2">
      <w:pPr>
        <w:jc w:val="both"/>
      </w:pPr>
    </w:p>
    <w:p w:rsidR="00451DF2" w:rsidRDefault="00172B19" w:rsidP="00A804C2">
      <w:pPr>
        <w:pStyle w:val="Heading2"/>
        <w:jc w:val="both"/>
      </w:pPr>
      <w:bookmarkStart w:id="16" w:name="_Toc523232511"/>
      <w:bookmarkStart w:id="17" w:name="_Toc523234810"/>
      <w:r>
        <w:t>Skills and t</w:t>
      </w:r>
      <w:r w:rsidR="00251525" w:rsidRPr="00451DF2">
        <w:t>raining</w:t>
      </w:r>
      <w:bookmarkEnd w:id="16"/>
      <w:bookmarkEnd w:id="17"/>
    </w:p>
    <w:p w:rsidR="00451DF2" w:rsidRDefault="007E5B64" w:rsidP="00A804C2">
      <w:pPr>
        <w:jc w:val="both"/>
      </w:pPr>
      <w:r>
        <w:t>The</w:t>
      </w:r>
      <w:r w:rsidR="00366473">
        <w:t xml:space="preserve"> team includes </w:t>
      </w:r>
      <w:r w:rsidR="00603B57">
        <w:t>two</w:t>
      </w:r>
      <w:r w:rsidR="00451DF2">
        <w:t xml:space="preserve"> fully qualified and </w:t>
      </w:r>
      <w:r w:rsidR="00603B57">
        <w:t>two</w:t>
      </w:r>
      <w:r w:rsidR="00451DF2">
        <w:t xml:space="preserve"> part qualified </w:t>
      </w:r>
      <w:r>
        <w:t xml:space="preserve">MCIPS </w:t>
      </w:r>
      <w:r w:rsidR="00451DF2">
        <w:t>staff m</w:t>
      </w:r>
      <w:r>
        <w:t>embers</w:t>
      </w:r>
      <w:r w:rsidR="004232A7">
        <w:t xml:space="preserve">. </w:t>
      </w:r>
      <w:r>
        <w:t xml:space="preserve">The </w:t>
      </w:r>
      <w:r w:rsidR="000D60A4">
        <w:t>c</w:t>
      </w:r>
      <w:r w:rsidR="00451DF2">
        <w:t xml:space="preserve">ontracts </w:t>
      </w:r>
      <w:r w:rsidR="000D60A4">
        <w:t>a</w:t>
      </w:r>
      <w:r w:rsidR="00451DF2">
        <w:t>nalyst</w:t>
      </w:r>
      <w:r w:rsidR="00775F36">
        <w:t xml:space="preserve"> and </w:t>
      </w:r>
      <w:r w:rsidR="000D60A4">
        <w:t>c</w:t>
      </w:r>
      <w:r w:rsidR="00775F36">
        <w:t xml:space="preserve">ontracts </w:t>
      </w:r>
      <w:r w:rsidR="000D60A4">
        <w:t>o</w:t>
      </w:r>
      <w:r w:rsidR="00775F36">
        <w:t>fficer</w:t>
      </w:r>
      <w:r>
        <w:t xml:space="preserve"> have attended various courses in supplier management and introduction to procurement during this period.</w:t>
      </w:r>
    </w:p>
    <w:p w:rsidR="00F52619" w:rsidRDefault="00F52619" w:rsidP="00A804C2">
      <w:pPr>
        <w:jc w:val="both"/>
      </w:pPr>
    </w:p>
    <w:p w:rsidR="00451DF2" w:rsidRPr="00451DF2" w:rsidRDefault="00451DF2" w:rsidP="00A804C2">
      <w:pPr>
        <w:jc w:val="both"/>
      </w:pPr>
    </w:p>
    <w:p w:rsidR="00451DF2" w:rsidRDefault="00451DF2" w:rsidP="00A804C2">
      <w:pPr>
        <w:jc w:val="both"/>
      </w:pPr>
    </w:p>
    <w:p w:rsidR="00251525" w:rsidRPr="00F52619" w:rsidRDefault="00A110AE" w:rsidP="00A804C2">
      <w:pPr>
        <w:pStyle w:val="Heading1"/>
        <w:jc w:val="both"/>
        <w:rPr>
          <w:szCs w:val="22"/>
        </w:rPr>
      </w:pPr>
      <w:bookmarkStart w:id="18" w:name="_Toc523232512"/>
      <w:bookmarkStart w:id="19" w:name="_Toc523234811"/>
      <w:r>
        <w:t>Responsible Business</w:t>
      </w:r>
      <w:bookmarkEnd w:id="18"/>
      <w:bookmarkEnd w:id="19"/>
    </w:p>
    <w:p w:rsidR="00F52619" w:rsidRDefault="00F52619" w:rsidP="00A804C2">
      <w:pPr>
        <w:jc w:val="both"/>
      </w:pPr>
    </w:p>
    <w:p w:rsidR="00A110AE" w:rsidRDefault="00F52619" w:rsidP="00A804C2">
      <w:pPr>
        <w:jc w:val="both"/>
      </w:pPr>
      <w:r>
        <w:t xml:space="preserve">SQA is committed to </w:t>
      </w:r>
      <w:r w:rsidR="000D60A4">
        <w:t>work</w:t>
      </w:r>
      <w:r>
        <w:t xml:space="preserve">ing </w:t>
      </w:r>
      <w:r w:rsidR="000D60A4">
        <w:t xml:space="preserve">with </w:t>
      </w:r>
      <w:r>
        <w:t>supported business</w:t>
      </w:r>
      <w:r w:rsidR="00366473">
        <w:t>es</w:t>
      </w:r>
      <w:r>
        <w:t xml:space="preserve"> and SME</w:t>
      </w:r>
      <w:r w:rsidR="00A110AE">
        <w:t>s</w:t>
      </w:r>
      <w:r w:rsidR="00366473">
        <w:t>, and</w:t>
      </w:r>
      <w:r w:rsidR="00A110AE">
        <w:t xml:space="preserve"> promotes engagement with SMEs and local suppliers</w:t>
      </w:r>
      <w:r w:rsidR="004232A7">
        <w:t xml:space="preserve">. </w:t>
      </w:r>
      <w:r w:rsidR="00A110AE">
        <w:t>The policy allows SQA to carry out quick quotes to nominated suppliers up to the value of £50k</w:t>
      </w:r>
      <w:r w:rsidR="00366473">
        <w:t xml:space="preserve">, which </w:t>
      </w:r>
      <w:r w:rsidR="00A110AE">
        <w:t>allows SQA to develop and support small local companies.</w:t>
      </w:r>
    </w:p>
    <w:p w:rsidR="00A110AE" w:rsidRDefault="00A110AE" w:rsidP="00A804C2">
      <w:pPr>
        <w:jc w:val="both"/>
      </w:pPr>
    </w:p>
    <w:p w:rsidR="005A4F07" w:rsidRDefault="00F52619" w:rsidP="00A804C2">
      <w:pPr>
        <w:jc w:val="both"/>
      </w:pPr>
      <w:r>
        <w:t>During the period 20</w:t>
      </w:r>
      <w:r w:rsidR="000D60A4">
        <w:t>17–18</w:t>
      </w:r>
      <w:r>
        <w:t xml:space="preserve"> SQA awarded two contracts to</w:t>
      </w:r>
      <w:r w:rsidR="00A110AE">
        <w:t xml:space="preserve"> supported business</w:t>
      </w:r>
      <w:r w:rsidR="000D60A4">
        <w:t>es</w:t>
      </w:r>
      <w:r w:rsidR="004232A7">
        <w:t xml:space="preserve">. </w:t>
      </w:r>
    </w:p>
    <w:p w:rsidR="005A4F07" w:rsidRPr="005A4F07" w:rsidRDefault="005A4F07" w:rsidP="00A804C2">
      <w:pPr>
        <w:jc w:val="both"/>
      </w:pPr>
    </w:p>
    <w:p w:rsidR="001D3157" w:rsidRPr="001D3157" w:rsidRDefault="00A110AE" w:rsidP="00A804C2">
      <w:pPr>
        <w:jc w:val="both"/>
      </w:pPr>
      <w:r>
        <w:t xml:space="preserve">SQA </w:t>
      </w:r>
      <w:r w:rsidR="007D5BBE">
        <w:t>use</w:t>
      </w:r>
      <w:r>
        <w:t>s living wage supplier</w:t>
      </w:r>
      <w:r w:rsidR="007D5BBE">
        <w:t>s,</w:t>
      </w:r>
      <w:r>
        <w:t xml:space="preserve"> </w:t>
      </w:r>
      <w:r w:rsidR="007D5BBE">
        <w:t>and</w:t>
      </w:r>
      <w:r>
        <w:t xml:space="preserve"> all service contracts </w:t>
      </w:r>
      <w:r w:rsidR="007D5BBE">
        <w:t xml:space="preserve">include </w:t>
      </w:r>
      <w:r>
        <w:t>pay</w:t>
      </w:r>
      <w:r w:rsidR="007D5BBE">
        <w:t>ment of</w:t>
      </w:r>
      <w:r>
        <w:t xml:space="preserve"> </w:t>
      </w:r>
      <w:r w:rsidR="007D5BBE">
        <w:t xml:space="preserve">the </w:t>
      </w:r>
      <w:r>
        <w:t xml:space="preserve">living wage as part of the contract. </w:t>
      </w:r>
    </w:p>
    <w:p w:rsidR="00A110AE" w:rsidRPr="00A110AE" w:rsidRDefault="00A110AE" w:rsidP="00A804C2">
      <w:pPr>
        <w:jc w:val="both"/>
      </w:pPr>
    </w:p>
    <w:p w:rsidR="00F52619" w:rsidRDefault="00A110AE" w:rsidP="00A804C2">
      <w:pPr>
        <w:jc w:val="both"/>
      </w:pPr>
      <w:r>
        <w:t>SQA as an organisation</w:t>
      </w:r>
      <w:r w:rsidR="007F2A92">
        <w:t xml:space="preserve"> is fully committed to</w:t>
      </w:r>
      <w:r w:rsidR="00FC6C0C">
        <w:t xml:space="preserve"> being a Responsible Business</w:t>
      </w:r>
      <w:r w:rsidR="007D5BBE">
        <w:t>, including in its procurement practices</w:t>
      </w:r>
      <w:r w:rsidR="004232A7">
        <w:t xml:space="preserve">. </w:t>
      </w:r>
      <w:r w:rsidR="00FC6C0C">
        <w:t>F</w:t>
      </w:r>
      <w:r w:rsidR="000E01C4">
        <w:t>ull</w:t>
      </w:r>
      <w:r w:rsidR="007D5BBE">
        <w:t>er</w:t>
      </w:r>
      <w:r w:rsidR="000E01C4">
        <w:t xml:space="preserve"> details</w:t>
      </w:r>
      <w:r>
        <w:t xml:space="preserve"> can be found in SQA’s Responsible Business </w:t>
      </w:r>
      <w:r w:rsidR="004232A7">
        <w:t>A</w:t>
      </w:r>
      <w:r>
        <w:t xml:space="preserve">nnual </w:t>
      </w:r>
      <w:r w:rsidR="004232A7">
        <w:t>R</w:t>
      </w:r>
      <w:r>
        <w:t>e</w:t>
      </w:r>
      <w:r w:rsidR="004232A7">
        <w:t>view</w:t>
      </w:r>
      <w:r w:rsidR="007D5BBE">
        <w:t>,</w:t>
      </w:r>
      <w:r>
        <w:t xml:space="preserve"> available on SQA’s website.</w:t>
      </w:r>
    </w:p>
    <w:p w:rsidR="00327144" w:rsidRDefault="00327144" w:rsidP="00A804C2">
      <w:pPr>
        <w:jc w:val="both"/>
      </w:pPr>
    </w:p>
    <w:p w:rsidR="005A4F07" w:rsidRDefault="005A4F07" w:rsidP="00A804C2">
      <w:pPr>
        <w:jc w:val="both"/>
      </w:pPr>
      <w:r>
        <w:br w:type="page"/>
      </w:r>
    </w:p>
    <w:p w:rsidR="00327144" w:rsidRDefault="00327144" w:rsidP="00A804C2">
      <w:pPr>
        <w:jc w:val="both"/>
      </w:pPr>
    </w:p>
    <w:p w:rsidR="00FC6C0C" w:rsidRPr="00FC6C0C" w:rsidRDefault="00FC6C0C" w:rsidP="00A804C2">
      <w:pPr>
        <w:pStyle w:val="Heading1"/>
        <w:jc w:val="both"/>
        <w:rPr>
          <w:szCs w:val="22"/>
        </w:rPr>
      </w:pPr>
      <w:bookmarkStart w:id="20" w:name="_Toc523232513"/>
      <w:bookmarkStart w:id="21" w:name="_Toc523234812"/>
      <w:r>
        <w:t>Transparency</w:t>
      </w:r>
      <w:bookmarkEnd w:id="20"/>
      <w:bookmarkEnd w:id="21"/>
    </w:p>
    <w:p w:rsidR="00FC6C0C" w:rsidRDefault="00FC6C0C" w:rsidP="00A804C2">
      <w:pPr>
        <w:pStyle w:val="ListParagraph"/>
        <w:jc w:val="both"/>
      </w:pPr>
    </w:p>
    <w:p w:rsidR="00952322" w:rsidRDefault="00952322" w:rsidP="00A804C2">
      <w:pPr>
        <w:pStyle w:val="Heading2"/>
        <w:jc w:val="both"/>
      </w:pPr>
      <w:bookmarkStart w:id="22" w:name="_Toc523232514"/>
      <w:bookmarkStart w:id="23" w:name="_Toc523234813"/>
      <w:r>
        <w:t xml:space="preserve">Contracts awarded by </w:t>
      </w:r>
      <w:r w:rsidR="00172B19">
        <w:t>p</w:t>
      </w:r>
      <w:r>
        <w:t>rocedure</w:t>
      </w:r>
      <w:bookmarkEnd w:id="22"/>
      <w:bookmarkEnd w:id="23"/>
    </w:p>
    <w:p w:rsidR="00952322" w:rsidRDefault="00952322" w:rsidP="00A804C2">
      <w:pPr>
        <w:jc w:val="both"/>
      </w:pPr>
      <w:r>
        <w:t>During 20</w:t>
      </w:r>
      <w:r w:rsidR="0078028C">
        <w:t>17–18</w:t>
      </w:r>
      <w:r w:rsidR="00BA2D7D">
        <w:t>,</w:t>
      </w:r>
      <w:r>
        <w:t xml:space="preserve"> 70 contracts </w:t>
      </w:r>
      <w:r w:rsidR="00BA2D7D">
        <w:t xml:space="preserve">were </w:t>
      </w:r>
      <w:r>
        <w:t>tendered/awarded.</w:t>
      </w:r>
    </w:p>
    <w:p w:rsidR="00952322" w:rsidRDefault="00952322" w:rsidP="00A804C2">
      <w:pPr>
        <w:jc w:val="both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2062"/>
      </w:tblGrid>
      <w:tr w:rsidR="005A4F07" w:rsidTr="00402268">
        <w:tc>
          <w:tcPr>
            <w:tcW w:w="3402" w:type="dxa"/>
          </w:tcPr>
          <w:p w:rsidR="005A4F07" w:rsidRDefault="005A4F07" w:rsidP="00A804C2">
            <w:pPr>
              <w:jc w:val="both"/>
            </w:pPr>
            <w:r>
              <w:t>Procedure</w:t>
            </w:r>
          </w:p>
        </w:tc>
        <w:tc>
          <w:tcPr>
            <w:tcW w:w="1276" w:type="dxa"/>
          </w:tcPr>
          <w:p w:rsidR="005A4F07" w:rsidRDefault="005A4F07" w:rsidP="00A804C2">
            <w:pPr>
              <w:jc w:val="both"/>
            </w:pPr>
            <w:r>
              <w:t>No of Contracts</w:t>
            </w:r>
          </w:p>
        </w:tc>
        <w:tc>
          <w:tcPr>
            <w:tcW w:w="2062" w:type="dxa"/>
          </w:tcPr>
          <w:p w:rsidR="005A4F07" w:rsidRDefault="005A4F07" w:rsidP="00A804C2">
            <w:pPr>
              <w:jc w:val="both"/>
            </w:pPr>
            <w:r>
              <w:t>Estimated Contract Value</w:t>
            </w:r>
          </w:p>
        </w:tc>
      </w:tr>
      <w:tr w:rsidR="005A4F07" w:rsidTr="00402268">
        <w:tc>
          <w:tcPr>
            <w:tcW w:w="3402" w:type="dxa"/>
          </w:tcPr>
          <w:p w:rsidR="005A4F07" w:rsidRDefault="005A4F07" w:rsidP="00A804C2">
            <w:pPr>
              <w:jc w:val="both"/>
            </w:pPr>
            <w:r>
              <w:t>EU regulated</w:t>
            </w:r>
          </w:p>
        </w:tc>
        <w:tc>
          <w:tcPr>
            <w:tcW w:w="1276" w:type="dxa"/>
          </w:tcPr>
          <w:p w:rsidR="005A4F07" w:rsidRDefault="005A4F07" w:rsidP="00A804C2">
            <w:pPr>
              <w:ind w:right="425"/>
              <w:jc w:val="both"/>
            </w:pPr>
            <w:r>
              <w:t>4</w:t>
            </w:r>
          </w:p>
        </w:tc>
        <w:tc>
          <w:tcPr>
            <w:tcW w:w="2062" w:type="dxa"/>
          </w:tcPr>
          <w:p w:rsidR="005A4F07" w:rsidRDefault="005A4F07" w:rsidP="00A804C2">
            <w:pPr>
              <w:jc w:val="both"/>
            </w:pPr>
            <w:r>
              <w:t>£2m</w:t>
            </w:r>
          </w:p>
        </w:tc>
      </w:tr>
      <w:tr w:rsidR="005A4F07" w:rsidTr="00402268">
        <w:tc>
          <w:tcPr>
            <w:tcW w:w="3402" w:type="dxa"/>
          </w:tcPr>
          <w:p w:rsidR="005A4F07" w:rsidRDefault="005A4F07" w:rsidP="00A804C2">
            <w:pPr>
              <w:jc w:val="both"/>
            </w:pPr>
            <w:r>
              <w:t xml:space="preserve">ITT </w:t>
            </w:r>
          </w:p>
        </w:tc>
        <w:tc>
          <w:tcPr>
            <w:tcW w:w="1276" w:type="dxa"/>
          </w:tcPr>
          <w:p w:rsidR="005A4F07" w:rsidRDefault="005A4F07" w:rsidP="00A804C2">
            <w:pPr>
              <w:ind w:right="425"/>
              <w:jc w:val="both"/>
            </w:pPr>
            <w:r>
              <w:t>9</w:t>
            </w:r>
          </w:p>
        </w:tc>
        <w:tc>
          <w:tcPr>
            <w:tcW w:w="2062" w:type="dxa"/>
          </w:tcPr>
          <w:p w:rsidR="005A4F07" w:rsidRDefault="005A4F07" w:rsidP="00A804C2">
            <w:pPr>
              <w:jc w:val="both"/>
            </w:pPr>
            <w:r>
              <w:t>£850K</w:t>
            </w:r>
          </w:p>
        </w:tc>
      </w:tr>
      <w:tr w:rsidR="005A4F07" w:rsidTr="00402268">
        <w:tc>
          <w:tcPr>
            <w:tcW w:w="3402" w:type="dxa"/>
          </w:tcPr>
          <w:p w:rsidR="005A4F07" w:rsidRDefault="005A4F07" w:rsidP="00A804C2">
            <w:pPr>
              <w:jc w:val="both"/>
            </w:pPr>
            <w:r>
              <w:t>ITQ</w:t>
            </w:r>
          </w:p>
        </w:tc>
        <w:tc>
          <w:tcPr>
            <w:tcW w:w="1276" w:type="dxa"/>
          </w:tcPr>
          <w:p w:rsidR="005A4F07" w:rsidRDefault="005A4F07" w:rsidP="00A804C2">
            <w:pPr>
              <w:ind w:right="425"/>
              <w:jc w:val="both"/>
            </w:pPr>
            <w:r>
              <w:t>33</w:t>
            </w:r>
          </w:p>
        </w:tc>
        <w:tc>
          <w:tcPr>
            <w:tcW w:w="2062" w:type="dxa"/>
          </w:tcPr>
          <w:p w:rsidR="005A4F07" w:rsidRDefault="005A4F07" w:rsidP="00A804C2">
            <w:pPr>
              <w:jc w:val="both"/>
            </w:pPr>
            <w:r>
              <w:t>£385K</w:t>
            </w:r>
          </w:p>
        </w:tc>
      </w:tr>
      <w:tr w:rsidR="005A4F07" w:rsidTr="00402268">
        <w:tc>
          <w:tcPr>
            <w:tcW w:w="3402" w:type="dxa"/>
          </w:tcPr>
          <w:p w:rsidR="005A4F07" w:rsidRDefault="005A4F07" w:rsidP="00A804C2">
            <w:pPr>
              <w:jc w:val="both"/>
            </w:pPr>
            <w:r>
              <w:t>Frameworks</w:t>
            </w:r>
          </w:p>
        </w:tc>
        <w:tc>
          <w:tcPr>
            <w:tcW w:w="1276" w:type="dxa"/>
          </w:tcPr>
          <w:p w:rsidR="005A4F07" w:rsidRDefault="005A4F07" w:rsidP="00A804C2">
            <w:pPr>
              <w:ind w:right="425"/>
              <w:jc w:val="both"/>
            </w:pPr>
            <w:r>
              <w:t>15</w:t>
            </w:r>
          </w:p>
        </w:tc>
        <w:tc>
          <w:tcPr>
            <w:tcW w:w="2062" w:type="dxa"/>
          </w:tcPr>
          <w:p w:rsidR="005A4F07" w:rsidRDefault="005A4F07" w:rsidP="00A804C2">
            <w:pPr>
              <w:jc w:val="both"/>
            </w:pPr>
            <w:r>
              <w:t>£450K</w:t>
            </w:r>
          </w:p>
        </w:tc>
      </w:tr>
      <w:tr w:rsidR="005A4F07" w:rsidTr="00402268">
        <w:tc>
          <w:tcPr>
            <w:tcW w:w="3402" w:type="dxa"/>
          </w:tcPr>
          <w:p w:rsidR="005A4F07" w:rsidRDefault="005A4F07" w:rsidP="00A804C2">
            <w:pPr>
              <w:jc w:val="both"/>
            </w:pPr>
            <w:r>
              <w:t>Non Competitive Action (NCA)*</w:t>
            </w:r>
          </w:p>
        </w:tc>
        <w:tc>
          <w:tcPr>
            <w:tcW w:w="1276" w:type="dxa"/>
          </w:tcPr>
          <w:p w:rsidR="005A4F07" w:rsidRDefault="005A4F07" w:rsidP="00A804C2">
            <w:pPr>
              <w:ind w:right="425"/>
              <w:jc w:val="both"/>
            </w:pPr>
            <w:r>
              <w:t>9</w:t>
            </w:r>
          </w:p>
        </w:tc>
        <w:tc>
          <w:tcPr>
            <w:tcW w:w="2062" w:type="dxa"/>
          </w:tcPr>
          <w:p w:rsidR="005A4F07" w:rsidRDefault="005A4F07" w:rsidP="00A804C2">
            <w:pPr>
              <w:jc w:val="both"/>
            </w:pPr>
            <w:r>
              <w:t>£210K</w:t>
            </w:r>
          </w:p>
        </w:tc>
      </w:tr>
    </w:tbl>
    <w:p w:rsidR="00366473" w:rsidRDefault="00366473" w:rsidP="00A804C2">
      <w:pPr>
        <w:pStyle w:val="ListParagraph"/>
        <w:jc w:val="both"/>
      </w:pPr>
    </w:p>
    <w:p w:rsidR="00366473" w:rsidRDefault="00AD05F3" w:rsidP="00A804C2">
      <w:pPr>
        <w:pStyle w:val="ListParagraph"/>
        <w:ind w:left="0"/>
        <w:jc w:val="both"/>
      </w:pPr>
      <w:r>
        <w:t>*NCA breakdown</w:t>
      </w:r>
      <w:r w:rsidR="00402268">
        <w:t>:</w:t>
      </w:r>
      <w:r>
        <w:t xml:space="preserve"> </w:t>
      </w:r>
    </w:p>
    <w:p w:rsidR="00AD05F3" w:rsidRDefault="00AD05F3" w:rsidP="00A804C2">
      <w:pPr>
        <w:pStyle w:val="ListParagraph"/>
        <w:numPr>
          <w:ilvl w:val="0"/>
          <w:numId w:val="33"/>
        </w:numPr>
        <w:jc w:val="both"/>
      </w:pPr>
      <w:r>
        <w:t>7 suppliers were sole suppliers within the market place</w:t>
      </w:r>
    </w:p>
    <w:p w:rsidR="00AD05F3" w:rsidRDefault="00AD05F3" w:rsidP="00A804C2">
      <w:pPr>
        <w:pStyle w:val="ListParagraph"/>
        <w:numPr>
          <w:ilvl w:val="0"/>
          <w:numId w:val="33"/>
        </w:numPr>
        <w:jc w:val="both"/>
      </w:pPr>
      <w:r>
        <w:t xml:space="preserve">1 supplier owned IPR </w:t>
      </w:r>
      <w:r w:rsidRPr="00C72612">
        <w:t>which w</w:t>
      </w:r>
      <w:r w:rsidR="00C72612" w:rsidRPr="00C72612">
        <w:t>as</w:t>
      </w:r>
      <w:r w:rsidRPr="00C72612">
        <w:t xml:space="preserve"> procured by</w:t>
      </w:r>
      <w:r>
        <w:t xml:space="preserve"> SQA</w:t>
      </w:r>
    </w:p>
    <w:p w:rsidR="00AD05F3" w:rsidRDefault="00AD05F3" w:rsidP="00A804C2">
      <w:pPr>
        <w:pStyle w:val="ListParagraph"/>
        <w:numPr>
          <w:ilvl w:val="0"/>
          <w:numId w:val="33"/>
        </w:numPr>
        <w:jc w:val="both"/>
      </w:pPr>
      <w:r>
        <w:t>1 supplier specified hosting requirements to be compliant with their application</w:t>
      </w:r>
    </w:p>
    <w:p w:rsidR="00E660A6" w:rsidRPr="00AD05F3" w:rsidRDefault="00E660A6" w:rsidP="00A804C2">
      <w:pPr>
        <w:pStyle w:val="ListParagraph"/>
        <w:jc w:val="both"/>
      </w:pPr>
    </w:p>
    <w:p w:rsidR="00FC6C0C" w:rsidRDefault="00FC6C0C" w:rsidP="00A804C2">
      <w:pPr>
        <w:pStyle w:val="Heading2"/>
        <w:jc w:val="both"/>
      </w:pPr>
      <w:bookmarkStart w:id="24" w:name="_Toc523232515"/>
      <w:bookmarkStart w:id="25" w:name="_Toc523234814"/>
      <w:r>
        <w:t>Compliance</w:t>
      </w:r>
      <w:bookmarkEnd w:id="24"/>
      <w:bookmarkEnd w:id="25"/>
    </w:p>
    <w:p w:rsidR="00AD05F3" w:rsidRDefault="00AD05F3" w:rsidP="00A804C2">
      <w:pPr>
        <w:jc w:val="both"/>
      </w:pPr>
      <w:r>
        <w:t>During the period of 20</w:t>
      </w:r>
      <w:r w:rsidR="0078028C">
        <w:t>17–18</w:t>
      </w:r>
      <w:r>
        <w:t>:</w:t>
      </w:r>
    </w:p>
    <w:p w:rsidR="00AD05F3" w:rsidRDefault="00AD05F3" w:rsidP="00A804C2">
      <w:pPr>
        <w:pStyle w:val="ListParagraph"/>
        <w:numPr>
          <w:ilvl w:val="0"/>
          <w:numId w:val="34"/>
        </w:numPr>
        <w:jc w:val="both"/>
      </w:pPr>
      <w:r>
        <w:t>100% of the contracts awarded were compliant with regulations</w:t>
      </w:r>
      <w:r w:rsidR="00402268">
        <w:t>.</w:t>
      </w:r>
    </w:p>
    <w:p w:rsidR="00AD05F3" w:rsidRPr="00AD05F3" w:rsidRDefault="00AD05F3" w:rsidP="00A804C2">
      <w:pPr>
        <w:pStyle w:val="ListParagraph"/>
        <w:numPr>
          <w:ilvl w:val="0"/>
          <w:numId w:val="34"/>
        </w:numPr>
        <w:jc w:val="both"/>
      </w:pPr>
      <w:r w:rsidRPr="00AD05F3">
        <w:t>96% of the contracts awarded followed SQA’s policy and procedures</w:t>
      </w:r>
      <w:r w:rsidR="004232A7">
        <w:t xml:space="preserve">. </w:t>
      </w:r>
      <w:r w:rsidR="008D15DC">
        <w:t xml:space="preserve"> The 4% which did not follow the correct policy, where compliant with regulations but did not follow SQA’s process.  An improvement plan has been put in place with additional training </w:t>
      </w:r>
      <w:r w:rsidR="000D6D6A">
        <w:t>and checks now implemented.</w:t>
      </w:r>
    </w:p>
    <w:p w:rsidR="00AD05F3" w:rsidRDefault="00AD05F3" w:rsidP="00A804C2">
      <w:pPr>
        <w:pStyle w:val="ListParagraph"/>
        <w:jc w:val="both"/>
      </w:pPr>
    </w:p>
    <w:p w:rsidR="00FC6C0C" w:rsidRDefault="00DD055C" w:rsidP="00A804C2">
      <w:pPr>
        <w:pStyle w:val="Heading2"/>
        <w:jc w:val="both"/>
      </w:pPr>
      <w:bookmarkStart w:id="26" w:name="_Toc523232516"/>
      <w:bookmarkStart w:id="27" w:name="_Toc523234815"/>
      <w:r>
        <w:t>Break</w:t>
      </w:r>
      <w:r w:rsidR="00D56C58">
        <w:t>d</w:t>
      </w:r>
      <w:r>
        <w:t xml:space="preserve">own of </w:t>
      </w:r>
      <w:r w:rsidR="00D56C58">
        <w:t>s</w:t>
      </w:r>
      <w:r>
        <w:t>pend</w:t>
      </w:r>
      <w:bookmarkEnd w:id="26"/>
      <w:bookmarkEnd w:id="27"/>
    </w:p>
    <w:p w:rsidR="00FC6C0C" w:rsidRDefault="00DD055C" w:rsidP="00A804C2">
      <w:pPr>
        <w:jc w:val="both"/>
      </w:pPr>
      <w:r>
        <w:t>Appendix 2 details spend by top 10 suppliers and business areas.</w:t>
      </w:r>
    </w:p>
    <w:p w:rsidR="00CD6C6B" w:rsidRDefault="00CD6C6B" w:rsidP="00A804C2">
      <w:pPr>
        <w:pStyle w:val="ListParagraph"/>
        <w:jc w:val="both"/>
      </w:pPr>
    </w:p>
    <w:p w:rsidR="00CD6C6B" w:rsidRPr="00CD6C6B" w:rsidRDefault="00CD6C6B" w:rsidP="00A804C2">
      <w:pPr>
        <w:pStyle w:val="Heading2"/>
        <w:jc w:val="both"/>
      </w:pPr>
      <w:bookmarkStart w:id="28" w:name="_Toc523232517"/>
      <w:bookmarkStart w:id="29" w:name="_Toc523234816"/>
      <w:r>
        <w:t>Fraud</w:t>
      </w:r>
      <w:bookmarkEnd w:id="28"/>
      <w:bookmarkEnd w:id="29"/>
    </w:p>
    <w:p w:rsidR="00CD6C6B" w:rsidRDefault="00CD6C6B" w:rsidP="00A804C2">
      <w:pPr>
        <w:jc w:val="both"/>
      </w:pPr>
      <w:r w:rsidRPr="007F3F98">
        <w:t>There was</w:t>
      </w:r>
      <w:r>
        <w:t xml:space="preserve"> no </w:t>
      </w:r>
      <w:r w:rsidR="001D3157">
        <w:t>fraudulent</w:t>
      </w:r>
      <w:r>
        <w:t xml:space="preserve"> activity </w:t>
      </w:r>
      <w:r w:rsidR="008D15DC">
        <w:t>reported during the period of April 2017 until March 2018.</w:t>
      </w:r>
    </w:p>
    <w:p w:rsidR="000A1603" w:rsidRDefault="000A1603" w:rsidP="00A804C2">
      <w:pPr>
        <w:jc w:val="both"/>
      </w:pPr>
    </w:p>
    <w:p w:rsidR="000A1603" w:rsidRDefault="000A1603" w:rsidP="00A804C2">
      <w:pPr>
        <w:jc w:val="both"/>
      </w:pPr>
    </w:p>
    <w:p w:rsidR="007F3F98" w:rsidRPr="007F3F98" w:rsidRDefault="007F3F98" w:rsidP="00A804C2">
      <w:pPr>
        <w:pStyle w:val="Heading1"/>
        <w:jc w:val="both"/>
        <w:rPr>
          <w:szCs w:val="22"/>
        </w:rPr>
      </w:pPr>
      <w:bookmarkStart w:id="30" w:name="_Toc523232518"/>
      <w:bookmarkStart w:id="31" w:name="_Toc523234817"/>
      <w:r>
        <w:t>Conclusion</w:t>
      </w:r>
      <w:bookmarkEnd w:id="30"/>
      <w:bookmarkEnd w:id="31"/>
    </w:p>
    <w:p w:rsidR="007F3F98" w:rsidRDefault="007F3F98" w:rsidP="00A804C2">
      <w:pPr>
        <w:pStyle w:val="ListParagraph"/>
        <w:jc w:val="both"/>
      </w:pPr>
    </w:p>
    <w:p w:rsidR="007F3F98" w:rsidRPr="00442C40" w:rsidRDefault="007F3F98" w:rsidP="00A804C2">
      <w:pPr>
        <w:jc w:val="both"/>
      </w:pPr>
      <w:r w:rsidRPr="00442C40">
        <w:t xml:space="preserve">This report records the positive </w:t>
      </w:r>
      <w:r w:rsidR="00620341" w:rsidRPr="00442C40">
        <w:t>impact made</w:t>
      </w:r>
      <w:r w:rsidRPr="00442C40">
        <w:t xml:space="preserve"> by the Procurement </w:t>
      </w:r>
      <w:r w:rsidR="000E01C4">
        <w:t>d</w:t>
      </w:r>
      <w:r w:rsidRPr="00442C40">
        <w:t>epartment</w:t>
      </w:r>
      <w:r w:rsidR="00620341" w:rsidRPr="00442C40">
        <w:t xml:space="preserve"> in the delivery of SQA’s objectives</w:t>
      </w:r>
      <w:r w:rsidR="00D56C58">
        <w:t>.</w:t>
      </w:r>
      <w:r w:rsidRPr="00442C40">
        <w:t xml:space="preserve"> It details the journey throug</w:t>
      </w:r>
      <w:r w:rsidR="00402268">
        <w:t>h</w:t>
      </w:r>
      <w:r w:rsidRPr="00442C40">
        <w:t xml:space="preserve"> the period</w:t>
      </w:r>
      <w:r w:rsidR="00402268">
        <w:t>,</w:t>
      </w:r>
      <w:r w:rsidRPr="00442C40">
        <w:t xml:space="preserve"> and demonstrates the </w:t>
      </w:r>
      <w:r w:rsidR="000E01C4">
        <w:t>procurement team</w:t>
      </w:r>
      <w:r w:rsidR="00402268">
        <w:t>’s</w:t>
      </w:r>
      <w:r w:rsidRPr="00442C40">
        <w:t xml:space="preserve"> </w:t>
      </w:r>
      <w:r w:rsidR="00620341" w:rsidRPr="00442C40">
        <w:t>success</w:t>
      </w:r>
      <w:r w:rsidRPr="00442C40">
        <w:t xml:space="preserve"> and initiatives</w:t>
      </w:r>
      <w:r w:rsidR="00402268">
        <w:t>,</w:t>
      </w:r>
      <w:r w:rsidR="005A4F07">
        <w:t xml:space="preserve"> which</w:t>
      </w:r>
      <w:r w:rsidR="00620341" w:rsidRPr="00442C40">
        <w:t xml:space="preserve"> </w:t>
      </w:r>
      <w:r w:rsidR="00442C40" w:rsidRPr="00442C40">
        <w:t>were</w:t>
      </w:r>
      <w:r w:rsidR="003E7CC5" w:rsidRPr="00442C40">
        <w:t xml:space="preserve"> recognised </w:t>
      </w:r>
      <w:r w:rsidR="00402268">
        <w:t>by</w:t>
      </w:r>
      <w:r w:rsidR="003E7CC5" w:rsidRPr="00442C40">
        <w:t xml:space="preserve"> the </w:t>
      </w:r>
      <w:r w:rsidR="00402268">
        <w:t xml:space="preserve">Scottish Government’s </w:t>
      </w:r>
      <w:r w:rsidR="003E7CC5" w:rsidRPr="00442C40">
        <w:t>Procurem</w:t>
      </w:r>
      <w:r w:rsidR="00402268">
        <w:t>ent and Commercial Improvement P</w:t>
      </w:r>
      <w:r w:rsidR="003E7CC5" w:rsidRPr="00442C40">
        <w:t>rogramme</w:t>
      </w:r>
      <w:r w:rsidR="00402268">
        <w:t>,</w:t>
      </w:r>
      <w:r w:rsidR="008D15DC">
        <w:t xml:space="preserve"> where the team achieved the top level banding (M1)</w:t>
      </w:r>
      <w:r w:rsidR="000D6D6A">
        <w:t xml:space="preserve"> status</w:t>
      </w:r>
      <w:r w:rsidR="008D15DC">
        <w:t>.</w:t>
      </w:r>
    </w:p>
    <w:p w:rsidR="007F3F98" w:rsidRPr="00CD6C6B" w:rsidRDefault="007F3F98" w:rsidP="00D56C58"/>
    <w:p w:rsidR="00F908CA" w:rsidRDefault="00F908CA" w:rsidP="00D56C58">
      <w:r>
        <w:br w:type="page"/>
      </w:r>
    </w:p>
    <w:p w:rsidR="000413CE" w:rsidRDefault="00F908CA" w:rsidP="00D56C58">
      <w:r>
        <w:t>Appendix 1</w:t>
      </w:r>
    </w:p>
    <w:p w:rsidR="00F908CA" w:rsidRDefault="00F908CA" w:rsidP="00D56C58"/>
    <w:tbl>
      <w:tblPr>
        <w:tblW w:w="5778" w:type="dxa"/>
        <w:tblLook w:val="04A0" w:firstRow="1" w:lastRow="0" w:firstColumn="1" w:lastColumn="0" w:noHBand="0" w:noVBand="1"/>
      </w:tblPr>
      <w:tblGrid>
        <w:gridCol w:w="4460"/>
        <w:gridCol w:w="1318"/>
      </w:tblGrid>
      <w:tr w:rsidR="00F908CA" w:rsidRPr="00F908CA" w:rsidTr="001E4458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SUPPLIER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SPEND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COGENT SSC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£50,000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21 COLOUR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£50,755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CARNEGIE ENTERPRISE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£53,329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OPEN TEXT UK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£54,008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EDINBURGH TRAINING CENTRE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£55,504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CPP TRADING GROUP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£55,622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FUJITSU SERVICES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£55,656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MEDIASCAPE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£56,720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EAGLE COURIERS (SCOTLAND)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£57,769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DISCLOSURE SCOTLAND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£57,988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NORTH AYRSHIRE COUNCIL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£58,429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INNOVATIVE EDUCATION NETWORK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£63,046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YULE &amp; YULE INTERIOR SOLUTIONS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£63,110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EAST DUNBARTONSHIRE COUNCIL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£63,280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REPUBLIC OF MEDIA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£63,969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LOCKTON COMPANIES LLP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£64,304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JOINT COUNCIL FOR QUALIFICATIONS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£67,195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SCREENMEDIA DESIGN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£67,844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CROWNE PLAZA GLASGOW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£71,369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SAMSVC UK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£71,760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SENATOR INTERNATIONAL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£72,680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SYSTEMSACCOUNTANTS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£73,152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SOUTH LANARKSHIRE COUNCIL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£74,108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PROVISTA UK LTD.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£79,635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HOLIDAY INN EDINBURGH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£79,900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XEROX(UK)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£80,358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CHINA-BRITAIN BUSINESS COUNCIL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£81,018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XEROX FINANCE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£81,651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ORBUS SOFTWARE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£86,046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WARWICK UNIVERSITY TRAINING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£88,786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GTG TRAINING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£90,792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CITY SPRINT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£91,342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STIRLING COURT HOTEL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£92,745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AZURE SUPPORT SERVICES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£93,979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NCC GROUP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£94,348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MITIE SECURITY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£99,285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EDGE TESTING SOLUTIONS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£99,807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ROCKET EXHIBITIONS &amp; EVENTS LTD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£99,979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ID BUREAU SERVICES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£101,212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EDF ENERGY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£104,836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SAS SOFTWARE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£107,495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HILTON EDINBURGH AIRPORT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£109,305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ALLEGIS GROUP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£109,792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CAPITA BUSINESS SERVICES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£112,569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EVERYTHING EVERYWHERE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£116,675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TRICORDANT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£118,727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EAST AYRSHIRE COUNCIL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£120,769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EGTON MEDICAL INFORMATION SERVICES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£125,576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FES FM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£131,585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HOGG ROBINSON TRAVEL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£135,065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SCOTT-MONCRIEFF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£136,402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NIGEL FRANK INTERNATIONAL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£147,714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CLYDE PAPER AND PRINT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£152,256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PULSANT (SOUTH GYLE)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£152,684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HOBBS THE PRINTERS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£162,951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HOGG ROBINSON TRAVEL LIMITED T/A HRG UK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£163,062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CAPITA IT SERVICES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£167,102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IAN DICKSON TRAVEL SERVICE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£174,046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ASHBROOK RESEARCH &amp; CONSULTANCY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£181,513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APAM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£187,223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DUMFRIES AND GALLOWAY COUNCIL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£189,019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PORTICO CONSULTING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£190,932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PAGE BROS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£197,864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HP INC UK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£201,182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ATOS IT SERVICES UK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£201,204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NCC GROUP SDLC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£213,661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STORY UK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£226,776</w:t>
            </w:r>
          </w:p>
        </w:tc>
      </w:tr>
      <w:tr w:rsidR="001E4458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458" w:rsidRPr="00F908CA" w:rsidRDefault="001E4458" w:rsidP="00D56C58">
            <w:r>
              <w:t>BRODIES LLP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458" w:rsidRPr="00F908CA" w:rsidRDefault="001E4458" w:rsidP="00D56C58">
            <w:r>
              <w:t>£231,247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ADARE SEC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£249,422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ABSOFT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£263,745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BTL GROUP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£274,836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ACTIAN EUROPE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£283,064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CIVIC COMPUTING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£300,171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IBM UNITED KINGDOM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£301,522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STORM ID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£302,618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HARVEY NASH PLC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£429,700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PARCELFORCE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£474,822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ROYAL MAIL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£528,986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ALBACORE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£564,048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IVANTI UK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£581,269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PARITY RESOURCES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£589,379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COMPAREX UK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£613,385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AGILISYS LIMITED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£619,102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EXECSPACE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£674,775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RAWI &amp; CO ASSOCIATES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£1,038,065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SPECIALIST COMPUTER CENTRES PLC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£1,041,001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PERTEMPS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£1,338,948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R M EDUCATION PLC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£1,663,478</w:t>
            </w:r>
          </w:p>
        </w:tc>
      </w:tr>
      <w:tr w:rsidR="00F908CA" w:rsidRPr="00F908CA" w:rsidTr="001E445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REDFERN TRAVEL LTD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CA" w:rsidRPr="00F908CA" w:rsidRDefault="00F908CA" w:rsidP="00D56C58">
            <w:r w:rsidRPr="00F908CA">
              <w:t>£2,291,370</w:t>
            </w:r>
          </w:p>
        </w:tc>
      </w:tr>
    </w:tbl>
    <w:p w:rsidR="00DD055C" w:rsidRDefault="00DD055C" w:rsidP="00D56C58"/>
    <w:p w:rsidR="00DD055C" w:rsidRDefault="00DD055C" w:rsidP="00D56C58">
      <w:r>
        <w:br w:type="page"/>
      </w:r>
    </w:p>
    <w:p w:rsidR="00F908CA" w:rsidRDefault="00DD055C" w:rsidP="00D56C58">
      <w:r>
        <w:t>Appendix 2</w:t>
      </w:r>
    </w:p>
    <w:p w:rsidR="00DD055C" w:rsidRDefault="00DD055C" w:rsidP="00D56C58"/>
    <w:p w:rsidR="00DD055C" w:rsidRDefault="00DD055C" w:rsidP="00D56C58">
      <w:pPr>
        <w:rPr>
          <w:noProof/>
        </w:rPr>
      </w:pPr>
    </w:p>
    <w:p w:rsidR="00DD055C" w:rsidRPr="001E4458" w:rsidRDefault="00DD055C" w:rsidP="00D56C58">
      <w:pPr>
        <w:rPr>
          <w:b/>
          <w:noProof/>
        </w:rPr>
      </w:pPr>
      <w:r w:rsidRPr="001E4458">
        <w:rPr>
          <w:b/>
          <w:noProof/>
        </w:rPr>
        <w:t>Top 10 suppliers</w:t>
      </w:r>
      <w:r w:rsidR="001E4458">
        <w:rPr>
          <w:b/>
          <w:noProof/>
        </w:rPr>
        <w:t xml:space="preserve"> to SQA</w:t>
      </w:r>
      <w:r w:rsidRPr="001E4458">
        <w:rPr>
          <w:b/>
          <w:noProof/>
        </w:rPr>
        <w:t>:</w:t>
      </w:r>
    </w:p>
    <w:p w:rsidR="00DD055C" w:rsidRDefault="00DD055C" w:rsidP="00D56C58">
      <w:pPr>
        <w:rPr>
          <w:noProof/>
        </w:rPr>
      </w:pPr>
    </w:p>
    <w:p w:rsidR="00DD055C" w:rsidRDefault="00DD055C" w:rsidP="00D56C58">
      <w:r>
        <w:rPr>
          <w:noProof/>
        </w:rPr>
        <w:drawing>
          <wp:inline distT="0" distB="0" distL="0" distR="0" wp14:anchorId="0ECE5817" wp14:editId="2A446E5F">
            <wp:extent cx="5486400" cy="34956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055C" w:rsidRDefault="00DD055C" w:rsidP="00D56C58"/>
    <w:p w:rsidR="00DD055C" w:rsidRDefault="00DD055C" w:rsidP="00D56C58"/>
    <w:p w:rsidR="00DD055C" w:rsidRPr="001E4458" w:rsidRDefault="00DD055C" w:rsidP="00D56C58">
      <w:pPr>
        <w:rPr>
          <w:b/>
        </w:rPr>
      </w:pPr>
      <w:r w:rsidRPr="001E4458">
        <w:rPr>
          <w:b/>
        </w:rPr>
        <w:t xml:space="preserve">Spend by </w:t>
      </w:r>
      <w:r w:rsidR="001E4458" w:rsidRPr="001E4458">
        <w:rPr>
          <w:b/>
        </w:rPr>
        <w:t>Directorate</w:t>
      </w:r>
    </w:p>
    <w:p w:rsidR="00DD055C" w:rsidRDefault="00DD055C" w:rsidP="00D56C58"/>
    <w:p w:rsidR="004232A7" w:rsidRPr="00DD055C" w:rsidRDefault="001E4458" w:rsidP="001E4458">
      <w:r>
        <w:rPr>
          <w:noProof/>
        </w:rPr>
        <w:drawing>
          <wp:inline distT="0" distB="0" distL="0" distR="0" wp14:anchorId="620A0B55" wp14:editId="27AD41EA">
            <wp:extent cx="5505450" cy="324802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t xml:space="preserve"> </w:t>
      </w:r>
    </w:p>
    <w:sectPr w:rsidR="004232A7" w:rsidRPr="00DD055C">
      <w:type w:val="continuous"/>
      <w:pgSz w:w="12240" w:h="15840" w:code="1"/>
      <w:pgMar w:top="1440" w:right="1800" w:bottom="1440" w:left="1800" w:header="720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32" w:rsidRDefault="00BA0B32" w:rsidP="00D56C58">
      <w:r>
        <w:separator/>
      </w:r>
    </w:p>
  </w:endnote>
  <w:endnote w:type="continuationSeparator" w:id="0">
    <w:p w:rsidR="00BA0B32" w:rsidRDefault="00BA0B32" w:rsidP="00D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32" w:rsidRDefault="00BA0B32" w:rsidP="00D56C58">
      <w:r>
        <w:separator/>
      </w:r>
    </w:p>
  </w:footnote>
  <w:footnote w:type="continuationSeparator" w:id="0">
    <w:p w:rsidR="00BA0B32" w:rsidRDefault="00BA0B32" w:rsidP="00D56C58">
      <w:r>
        <w:separator/>
      </w:r>
    </w:p>
  </w:footnote>
  <w:footnote w:type="continuationNotice" w:id="1">
    <w:p w:rsidR="00BA0B32" w:rsidRPr="00E51152" w:rsidRDefault="00BA0B32" w:rsidP="00E51152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0C24B35"/>
    <w:multiLevelType w:val="hybridMultilevel"/>
    <w:tmpl w:val="F080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2760"/>
    <w:multiLevelType w:val="hybridMultilevel"/>
    <w:tmpl w:val="2FAE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5622"/>
    <w:multiLevelType w:val="hybridMultilevel"/>
    <w:tmpl w:val="2A485CE6"/>
    <w:lvl w:ilvl="0" w:tplc="003C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5" w15:restartNumberingAfterBreak="0">
    <w:nsid w:val="117D19E2"/>
    <w:multiLevelType w:val="hybridMultilevel"/>
    <w:tmpl w:val="13146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4A53"/>
    <w:multiLevelType w:val="hybridMultilevel"/>
    <w:tmpl w:val="1594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95D04"/>
    <w:multiLevelType w:val="multilevel"/>
    <w:tmpl w:val="5AE4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42A56"/>
    <w:multiLevelType w:val="hybridMultilevel"/>
    <w:tmpl w:val="D0BC6C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741F48"/>
    <w:multiLevelType w:val="hybridMultilevel"/>
    <w:tmpl w:val="8AC6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A0DBF"/>
    <w:multiLevelType w:val="hybridMultilevel"/>
    <w:tmpl w:val="A8929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56222"/>
    <w:multiLevelType w:val="hybridMultilevel"/>
    <w:tmpl w:val="F450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B541C"/>
    <w:multiLevelType w:val="hybridMultilevel"/>
    <w:tmpl w:val="1FF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F667E"/>
    <w:multiLevelType w:val="hybridMultilevel"/>
    <w:tmpl w:val="812E6A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1A0FEA"/>
    <w:multiLevelType w:val="hybridMultilevel"/>
    <w:tmpl w:val="64B01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F6660"/>
    <w:multiLevelType w:val="hybridMultilevel"/>
    <w:tmpl w:val="8E12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262CF"/>
    <w:multiLevelType w:val="hybridMultilevel"/>
    <w:tmpl w:val="B822A0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F94D18"/>
    <w:multiLevelType w:val="hybridMultilevel"/>
    <w:tmpl w:val="125818F6"/>
    <w:lvl w:ilvl="0" w:tplc="E9E6AE3C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75F1"/>
    <w:multiLevelType w:val="multilevel"/>
    <w:tmpl w:val="FCE0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B14DF"/>
    <w:multiLevelType w:val="hybridMultilevel"/>
    <w:tmpl w:val="D6E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5F52"/>
    <w:multiLevelType w:val="hybridMultilevel"/>
    <w:tmpl w:val="2E22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86BC1"/>
    <w:multiLevelType w:val="hybridMultilevel"/>
    <w:tmpl w:val="3A0E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687757AC"/>
    <w:multiLevelType w:val="hybridMultilevel"/>
    <w:tmpl w:val="4FD8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41980"/>
    <w:multiLevelType w:val="hybridMultilevel"/>
    <w:tmpl w:val="F67A6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D423E"/>
    <w:multiLevelType w:val="hybridMultilevel"/>
    <w:tmpl w:val="2CC03E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7168F6"/>
    <w:multiLevelType w:val="hybridMultilevel"/>
    <w:tmpl w:val="0730F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4C65B0"/>
    <w:multiLevelType w:val="hybridMultilevel"/>
    <w:tmpl w:val="CA18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11107"/>
    <w:multiLevelType w:val="hybridMultilevel"/>
    <w:tmpl w:val="E460B8B4"/>
    <w:lvl w:ilvl="0" w:tplc="0340137C">
      <w:start w:val="1"/>
      <w:numFmt w:val="bullet"/>
      <w:pStyle w:val="TOC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D5F7940"/>
    <w:multiLevelType w:val="hybridMultilevel"/>
    <w:tmpl w:val="45B8EF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997552"/>
    <w:multiLevelType w:val="hybridMultilevel"/>
    <w:tmpl w:val="27BE09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23"/>
  </w:num>
  <w:num w:numId="4">
    <w:abstractNumId w:val="25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26"/>
  </w:num>
  <w:num w:numId="8">
    <w:abstractNumId w:val="32"/>
  </w:num>
  <w:num w:numId="9">
    <w:abstractNumId w:val="12"/>
  </w:num>
  <w:num w:numId="10">
    <w:abstractNumId w:val="29"/>
  </w:num>
  <w:num w:numId="11">
    <w:abstractNumId w:val="17"/>
  </w:num>
  <w:num w:numId="12">
    <w:abstractNumId w:val="22"/>
  </w:num>
  <w:num w:numId="13">
    <w:abstractNumId w:val="8"/>
  </w:num>
  <w:num w:numId="14">
    <w:abstractNumId w:val="31"/>
  </w:num>
  <w:num w:numId="15">
    <w:abstractNumId w:val="14"/>
  </w:num>
  <w:num w:numId="16">
    <w:abstractNumId w:val="28"/>
  </w:num>
  <w:num w:numId="17">
    <w:abstractNumId w:val="3"/>
  </w:num>
  <w:num w:numId="18">
    <w:abstractNumId w:val="27"/>
  </w:num>
  <w:num w:numId="19">
    <w:abstractNumId w:val="11"/>
  </w:num>
  <w:num w:numId="20">
    <w:abstractNumId w:val="20"/>
  </w:num>
  <w:num w:numId="21">
    <w:abstractNumId w:val="9"/>
  </w:num>
  <w:num w:numId="22">
    <w:abstractNumId w:val="24"/>
  </w:num>
  <w:num w:numId="23">
    <w:abstractNumId w:val="16"/>
  </w:num>
  <w:num w:numId="24">
    <w:abstractNumId w:val="7"/>
  </w:num>
  <w:num w:numId="25">
    <w:abstractNumId w:val="19"/>
  </w:num>
  <w:num w:numId="26">
    <w:abstractNumId w:val="1"/>
  </w:num>
  <w:num w:numId="27">
    <w:abstractNumId w:val="2"/>
  </w:num>
  <w:num w:numId="28">
    <w:abstractNumId w:val="5"/>
  </w:num>
  <w:num w:numId="29">
    <w:abstractNumId w:val="15"/>
  </w:num>
  <w:num w:numId="30">
    <w:abstractNumId w:val="18"/>
  </w:num>
  <w:num w:numId="31">
    <w:abstractNumId w:val="30"/>
  </w:num>
  <w:num w:numId="32">
    <w:abstractNumId w:val="13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5"/>
    <w:rsid w:val="000413CE"/>
    <w:rsid w:val="00043023"/>
    <w:rsid w:val="00046905"/>
    <w:rsid w:val="000A1295"/>
    <w:rsid w:val="000A1603"/>
    <w:rsid w:val="000D60A4"/>
    <w:rsid w:val="000D6D6A"/>
    <w:rsid w:val="000E01C4"/>
    <w:rsid w:val="00102C2A"/>
    <w:rsid w:val="0010327E"/>
    <w:rsid w:val="0010454D"/>
    <w:rsid w:val="00105230"/>
    <w:rsid w:val="00146E5A"/>
    <w:rsid w:val="00172B19"/>
    <w:rsid w:val="001853C5"/>
    <w:rsid w:val="00196AE2"/>
    <w:rsid w:val="001B540A"/>
    <w:rsid w:val="001B7850"/>
    <w:rsid w:val="001D3157"/>
    <w:rsid w:val="001E0C13"/>
    <w:rsid w:val="001E4458"/>
    <w:rsid w:val="00251525"/>
    <w:rsid w:val="00260602"/>
    <w:rsid w:val="00262D6B"/>
    <w:rsid w:val="002B516D"/>
    <w:rsid w:val="002C7D04"/>
    <w:rsid w:val="002E1DA3"/>
    <w:rsid w:val="00327144"/>
    <w:rsid w:val="003351B7"/>
    <w:rsid w:val="00366473"/>
    <w:rsid w:val="00380E03"/>
    <w:rsid w:val="003C33D5"/>
    <w:rsid w:val="003C7AE3"/>
    <w:rsid w:val="003E7CC5"/>
    <w:rsid w:val="00402268"/>
    <w:rsid w:val="004232A7"/>
    <w:rsid w:val="004276EB"/>
    <w:rsid w:val="00442C40"/>
    <w:rsid w:val="00451DF2"/>
    <w:rsid w:val="00452FC3"/>
    <w:rsid w:val="00486469"/>
    <w:rsid w:val="00497D7A"/>
    <w:rsid w:val="004A5315"/>
    <w:rsid w:val="004C579C"/>
    <w:rsid w:val="004D6BEC"/>
    <w:rsid w:val="004D75C8"/>
    <w:rsid w:val="004F6561"/>
    <w:rsid w:val="00501242"/>
    <w:rsid w:val="00510517"/>
    <w:rsid w:val="00553B23"/>
    <w:rsid w:val="005A4F07"/>
    <w:rsid w:val="005C54B0"/>
    <w:rsid w:val="005D409D"/>
    <w:rsid w:val="00603B57"/>
    <w:rsid w:val="00620341"/>
    <w:rsid w:val="006250AB"/>
    <w:rsid w:val="00697ACE"/>
    <w:rsid w:val="006A4B6C"/>
    <w:rsid w:val="006E4880"/>
    <w:rsid w:val="00752BE3"/>
    <w:rsid w:val="007532E5"/>
    <w:rsid w:val="00764B7D"/>
    <w:rsid w:val="00775F36"/>
    <w:rsid w:val="0078028C"/>
    <w:rsid w:val="007838AD"/>
    <w:rsid w:val="00786515"/>
    <w:rsid w:val="007A2A15"/>
    <w:rsid w:val="007C1E5F"/>
    <w:rsid w:val="007D5BBE"/>
    <w:rsid w:val="007E5B64"/>
    <w:rsid w:val="007F2A92"/>
    <w:rsid w:val="007F3F98"/>
    <w:rsid w:val="00810E58"/>
    <w:rsid w:val="00822D85"/>
    <w:rsid w:val="00825CB5"/>
    <w:rsid w:val="00845479"/>
    <w:rsid w:val="00876243"/>
    <w:rsid w:val="00891338"/>
    <w:rsid w:val="008B2645"/>
    <w:rsid w:val="008D15DC"/>
    <w:rsid w:val="009213D9"/>
    <w:rsid w:val="00930988"/>
    <w:rsid w:val="00951115"/>
    <w:rsid w:val="00952322"/>
    <w:rsid w:val="00952B94"/>
    <w:rsid w:val="00955A0C"/>
    <w:rsid w:val="00973E07"/>
    <w:rsid w:val="00A110AE"/>
    <w:rsid w:val="00A1547D"/>
    <w:rsid w:val="00A35FA7"/>
    <w:rsid w:val="00A804C2"/>
    <w:rsid w:val="00AA4169"/>
    <w:rsid w:val="00AB66B4"/>
    <w:rsid w:val="00AD05F3"/>
    <w:rsid w:val="00AD13DC"/>
    <w:rsid w:val="00AE00BA"/>
    <w:rsid w:val="00AF694E"/>
    <w:rsid w:val="00B21A18"/>
    <w:rsid w:val="00B23F3F"/>
    <w:rsid w:val="00B72078"/>
    <w:rsid w:val="00B73CB3"/>
    <w:rsid w:val="00B828B8"/>
    <w:rsid w:val="00B95196"/>
    <w:rsid w:val="00BA0B32"/>
    <w:rsid w:val="00BA2D7D"/>
    <w:rsid w:val="00BF7C29"/>
    <w:rsid w:val="00C10077"/>
    <w:rsid w:val="00C24779"/>
    <w:rsid w:val="00C362B4"/>
    <w:rsid w:val="00C52B9F"/>
    <w:rsid w:val="00C72612"/>
    <w:rsid w:val="00C7627B"/>
    <w:rsid w:val="00C83017"/>
    <w:rsid w:val="00CA1DEB"/>
    <w:rsid w:val="00CD6C6B"/>
    <w:rsid w:val="00D2451E"/>
    <w:rsid w:val="00D56C58"/>
    <w:rsid w:val="00DD055C"/>
    <w:rsid w:val="00DD3E73"/>
    <w:rsid w:val="00DE113F"/>
    <w:rsid w:val="00DE333F"/>
    <w:rsid w:val="00E35A9E"/>
    <w:rsid w:val="00E51152"/>
    <w:rsid w:val="00E660A6"/>
    <w:rsid w:val="00E83D6A"/>
    <w:rsid w:val="00ED0053"/>
    <w:rsid w:val="00F234FC"/>
    <w:rsid w:val="00F23E81"/>
    <w:rsid w:val="00F36644"/>
    <w:rsid w:val="00F42589"/>
    <w:rsid w:val="00F52619"/>
    <w:rsid w:val="00F57547"/>
    <w:rsid w:val="00F61611"/>
    <w:rsid w:val="00F70F2C"/>
    <w:rsid w:val="00F836F9"/>
    <w:rsid w:val="00F908CA"/>
    <w:rsid w:val="00F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C4DB5"/>
  <w15:docId w15:val="{510FADF4-EF44-4777-A3F2-802DC63A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ing3"/>
    <w:next w:val="BodyText"/>
    <w:qFormat/>
    <w:rsid w:val="00A35FA7"/>
    <w:pPr>
      <w:outlineLvl w:val="0"/>
    </w:pPr>
  </w:style>
  <w:style w:type="paragraph" w:styleId="Heading2">
    <w:name w:val="heading 2"/>
    <w:basedOn w:val="Heading5"/>
    <w:next w:val="BodyText"/>
    <w:qFormat/>
    <w:rsid w:val="003C33D5"/>
    <w:pPr>
      <w:spacing w:after="120"/>
      <w:outlineLvl w:val="1"/>
    </w:pPr>
  </w:style>
  <w:style w:type="paragraph" w:styleId="Heading3">
    <w:name w:val="heading 3"/>
    <w:basedOn w:val="ListParagraph"/>
    <w:next w:val="BodyText"/>
    <w:qFormat/>
    <w:rsid w:val="00BF7C29"/>
    <w:pPr>
      <w:numPr>
        <w:numId w:val="30"/>
      </w:numPr>
      <w:ind w:hanging="7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BodyText"/>
    <w:qFormat/>
    <w:rsid w:val="00AD13DC"/>
    <w:pPr>
      <w:keepNext/>
      <w:keepLines/>
      <w:spacing w:before="240" w:after="240" w:line="240" w:lineRule="atLeast"/>
      <w:ind w:left="360"/>
      <w:outlineLvl w:val="3"/>
    </w:pPr>
    <w:rPr>
      <w:i/>
      <w:spacing w:val="5"/>
      <w:kern w:val="20"/>
      <w:sz w:val="24"/>
    </w:rPr>
  </w:style>
  <w:style w:type="paragraph" w:styleId="Heading5">
    <w:name w:val="heading 5"/>
    <w:basedOn w:val="Normal"/>
    <w:next w:val="BodyText"/>
    <w:qFormat/>
    <w:rsid w:val="00AD13DC"/>
    <w:pPr>
      <w:keepNext/>
      <w:keepLines/>
      <w:spacing w:line="240" w:lineRule="atLeast"/>
      <w:outlineLvl w:val="4"/>
    </w:pPr>
    <w:rPr>
      <w:b/>
      <w:kern w:val="20"/>
    </w:rPr>
  </w:style>
  <w:style w:type="paragraph" w:styleId="Heading6">
    <w:name w:val="heading 6"/>
    <w:basedOn w:val="Normal"/>
    <w:next w:val="BodyText"/>
    <w:qFormat/>
    <w:rsid w:val="00AD13DC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paragraph" w:styleId="Heading7">
    <w:name w:val="heading 7"/>
    <w:basedOn w:val="Normal"/>
    <w:next w:val="BodyText"/>
    <w:qFormat/>
    <w:rsid w:val="00AD13DC"/>
    <w:pPr>
      <w:keepNext/>
      <w:keepLines/>
      <w:spacing w:line="240" w:lineRule="atLeast"/>
      <w:outlineLvl w:val="6"/>
    </w:pPr>
    <w:rPr>
      <w:caps/>
      <w:kern w:val="20"/>
      <w:sz w:val="18"/>
    </w:rPr>
  </w:style>
  <w:style w:type="paragraph" w:styleId="Heading8">
    <w:name w:val="heading 8"/>
    <w:basedOn w:val="Normal"/>
    <w:next w:val="BodyText"/>
    <w:qFormat/>
    <w:rsid w:val="00AD13DC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Heading9">
    <w:name w:val="heading 9"/>
    <w:basedOn w:val="Normal"/>
    <w:next w:val="BodyText"/>
    <w:qFormat/>
    <w:rsid w:val="00AD13DC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BodyText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efaultParagraphFon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Caption">
    <w:name w:val="caption"/>
    <w:basedOn w:val="Normal"/>
    <w:next w:val="BodyText"/>
    <w:qFormat/>
    <w:rsid w:val="00697ACE"/>
    <w:pPr>
      <w:spacing w:after="240"/>
      <w:contextualSpacing/>
      <w:jc w:val="center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sid w:val="00AD13DC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Bullet">
    <w:name w:val="List Bullet"/>
    <w:basedOn w:val="Normal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MacroText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Pr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ofFigures">
    <w:name w:val="table of figures"/>
    <w:basedOn w:val="Normal"/>
    <w:semiHidden/>
    <w:rsid w:val="00AD13DC"/>
  </w:style>
  <w:style w:type="paragraph" w:styleId="TOC1">
    <w:name w:val="toc 1"/>
    <w:basedOn w:val="Heading1"/>
    <w:uiPriority w:val="39"/>
    <w:rsid w:val="00E83D6A"/>
    <w:pPr>
      <w:numPr>
        <w:numId w:val="0"/>
      </w:numPr>
      <w:tabs>
        <w:tab w:val="left" w:pos="454"/>
      </w:tabs>
      <w:spacing w:before="240" w:after="120"/>
      <w:outlineLvl w:val="9"/>
    </w:pPr>
    <w:rPr>
      <w:rFonts w:cstheme="minorHAnsi"/>
      <w:sz w:val="22"/>
      <w:szCs w:val="20"/>
    </w:rPr>
  </w:style>
  <w:style w:type="paragraph" w:styleId="TOC2">
    <w:name w:val="toc 2"/>
    <w:basedOn w:val="Heading1"/>
    <w:uiPriority w:val="39"/>
    <w:rsid w:val="00E83D6A"/>
    <w:pPr>
      <w:numPr>
        <w:numId w:val="31"/>
      </w:numPr>
      <w:spacing w:after="120"/>
      <w:ind w:left="811" w:hanging="357"/>
      <w:contextualSpacing/>
    </w:pPr>
    <w:rPr>
      <w:rFonts w:cstheme="minorHAnsi"/>
      <w:iCs/>
      <w:sz w:val="22"/>
      <w:szCs w:val="20"/>
    </w:rPr>
  </w:style>
  <w:style w:type="paragraph" w:styleId="TOC3">
    <w:name w:val="toc 3"/>
    <w:basedOn w:val="Normal"/>
    <w:semiHidden/>
    <w:rsid w:val="00AD13DC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semiHidden/>
    <w:rsid w:val="00AD13DC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semiHidden/>
    <w:rsid w:val="00AD13DC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ubtitle">
    <w:name w:val="Subtitle"/>
    <w:basedOn w:val="Title"/>
    <w:next w:val="BodyText"/>
    <w:qFormat/>
    <w:pPr>
      <w:spacing w:after="420"/>
    </w:pPr>
    <w:rPr>
      <w:spacing w:val="20"/>
      <w:sz w:val="22"/>
    </w:rPr>
  </w:style>
  <w:style w:type="paragraph" w:styleId="Title">
    <w:name w:val="Title"/>
    <w:basedOn w:val="Normal"/>
    <w:next w:val="Subtitle"/>
    <w:qFormat/>
    <w:rsid w:val="00AD13DC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Columnheadings">
    <w:name w:val="Column heading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sid w:val="00AD13DC"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Normal"/>
    <w:rsid w:val="00D2451E"/>
    <w:rPr>
      <w:rFonts w:ascii="Verdana" w:hAnsi="Verdana"/>
      <w:sz w:val="12"/>
    </w:rPr>
  </w:style>
  <w:style w:type="paragraph" w:styleId="ListParagraph">
    <w:name w:val="List Paragraph"/>
    <w:basedOn w:val="Normal"/>
    <w:uiPriority w:val="34"/>
    <w:qFormat/>
    <w:rsid w:val="007A2A15"/>
    <w:pPr>
      <w:ind w:left="720"/>
    </w:pPr>
  </w:style>
  <w:style w:type="paragraph" w:styleId="BalloonText">
    <w:name w:val="Balloon Text"/>
    <w:basedOn w:val="Normal"/>
    <w:link w:val="BalloonTextChar"/>
    <w:rsid w:val="00510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517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2515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1525"/>
    <w:rPr>
      <w:rFonts w:ascii="Garamond" w:hAnsi="Garamond"/>
      <w:sz w:val="22"/>
      <w:lang w:val="en-US" w:eastAsia="en-US"/>
    </w:rPr>
  </w:style>
  <w:style w:type="table" w:styleId="TableGrid">
    <w:name w:val="Table Grid"/>
    <w:basedOn w:val="TableNormal"/>
    <w:rsid w:val="0095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36F9"/>
    <w:rPr>
      <w:color w:val="0000FF" w:themeColor="hyperlink"/>
      <w:u w:val="single"/>
    </w:rPr>
  </w:style>
  <w:style w:type="paragraph" w:styleId="TOC6">
    <w:name w:val="toc 6"/>
    <w:basedOn w:val="Normal"/>
    <w:next w:val="Normal"/>
    <w:autoRedefine/>
    <w:unhideWhenUsed/>
    <w:rsid w:val="00B73C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B73C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B73CB3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B73CB3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nhideWhenUsed/>
    <w:rsid w:val="000E0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01C4"/>
    <w:rPr>
      <w:rFonts w:ascii="Arial" w:hAnsi="Arial" w:cs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611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1611"/>
    <w:rPr>
      <w:rFonts w:ascii="Arial" w:hAnsi="Arial" w:cs="Arial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F61611"/>
    <w:rPr>
      <w:rFonts w:ascii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F6161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00949\AppData\Roaming\Microsoft\Templates\Business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Graphs!$B$3</c:f>
              <c:strCache>
                <c:ptCount val="1"/>
                <c:pt idx="0">
                  <c:v>Total spend of Supplier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DA1-474C-A24F-1E9F9B825E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DA1-474C-A24F-1E9F9B825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DA1-474C-A24F-1E9F9B825E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DA1-474C-A24F-1E9F9B825E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DA1-474C-A24F-1E9F9B825E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8DA1-474C-A24F-1E9F9B825E4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8DA1-474C-A24F-1E9F9B825E4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8DA1-474C-A24F-1E9F9B825E4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8DA1-474C-A24F-1E9F9B825E4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8DA1-474C-A24F-1E9F9B825E40}"/>
              </c:ext>
            </c:extLst>
          </c:dPt>
          <c:dLbls>
            <c:dLbl>
              <c:idx val="0"/>
              <c:layout>
                <c:manualLayout>
                  <c:x val="-5.0682261208577072E-2"/>
                  <c:y val="-1.9212295869356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A1-474C-A24F-1E9F9B825E40}"/>
                </c:ext>
              </c:extLst>
            </c:dLbl>
            <c:dLbl>
              <c:idx val="1"/>
              <c:layout>
                <c:manualLayout>
                  <c:x val="9.1617933723196876E-2"/>
                  <c:y val="-9.22190201729106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A1-474C-A24F-1E9F9B825E40}"/>
                </c:ext>
              </c:extLst>
            </c:dLbl>
            <c:dLbl>
              <c:idx val="2"/>
              <c:layout>
                <c:manualLayout>
                  <c:x val="-3.8986354775828458E-3"/>
                  <c:y val="-2.68972142170989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A1-474C-A24F-1E9F9B825E40}"/>
                </c:ext>
              </c:extLst>
            </c:dLbl>
            <c:dLbl>
              <c:idx val="3"/>
              <c:layout>
                <c:manualLayout>
                  <c:x val="4.8732943469785572E-2"/>
                  <c:y val="1.15273775216137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A1-474C-A24F-1E9F9B825E40}"/>
                </c:ext>
              </c:extLst>
            </c:dLbl>
            <c:dLbl>
              <c:idx val="4"/>
              <c:layout>
                <c:manualLayout>
                  <c:x val="2.7290448343079921E-2"/>
                  <c:y val="-8.06916426512968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A1-474C-A24F-1E9F9B825E40}"/>
                </c:ext>
              </c:extLst>
            </c:dLbl>
            <c:dLbl>
              <c:idx val="5"/>
              <c:layout>
                <c:manualLayout>
                  <c:x val="2.9239766081871343E-2"/>
                  <c:y val="4.2267050912584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DA1-474C-A24F-1E9F9B825E40}"/>
                </c:ext>
              </c:extLst>
            </c:dLbl>
            <c:dLbl>
              <c:idx val="6"/>
              <c:layout>
                <c:manualLayout>
                  <c:x val="-3.7037037037037035E-2"/>
                  <c:y val="7.6849183477425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A1-474C-A24F-1E9F9B825E40}"/>
                </c:ext>
              </c:extLst>
            </c:dLbl>
            <c:dLbl>
              <c:idx val="7"/>
              <c:layout>
                <c:manualLayout>
                  <c:x val="-5.8479532163742687E-2"/>
                  <c:y val="-4.2267050912584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DA1-474C-A24F-1E9F9B825E40}"/>
                </c:ext>
              </c:extLst>
            </c:dLbl>
            <c:dLbl>
              <c:idx val="8"/>
              <c:layout>
                <c:manualLayout>
                  <c:x val="-3.1189083820662766E-2"/>
                  <c:y val="-5.76368876080691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DA1-474C-A24F-1E9F9B825E40}"/>
                </c:ext>
              </c:extLst>
            </c:dLbl>
            <c:dLbl>
              <c:idx val="9"/>
              <c:layout>
                <c:manualLayout>
                  <c:x val="-0.10331384015594546"/>
                  <c:y val="-1.5369836695485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DA1-474C-A24F-1E9F9B825E4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Graphs!$A$4:$A$13</c:f>
              <c:strCache>
                <c:ptCount val="10"/>
                <c:pt idx="0">
                  <c:v>Agilisys Limited</c:v>
                </c:pt>
                <c:pt idx="1">
                  <c:v>Comparex UK Ltd</c:v>
                </c:pt>
                <c:pt idx="2">
                  <c:v>Execspace Ltd</c:v>
                </c:pt>
                <c:pt idx="3">
                  <c:v>Ivanti UK Limited</c:v>
                </c:pt>
                <c:pt idx="4">
                  <c:v>Parity Resources Limited</c:v>
                </c:pt>
                <c:pt idx="5">
                  <c:v>Pertemps Ltd</c:v>
                </c:pt>
                <c:pt idx="6">
                  <c:v>R M Education PLC</c:v>
                </c:pt>
                <c:pt idx="7">
                  <c:v>Rawi &amp; Co Associates Ltd</c:v>
                </c:pt>
                <c:pt idx="8">
                  <c:v>Redfern Travel Ltd</c:v>
                </c:pt>
                <c:pt idx="9">
                  <c:v>Specialist Computer Centres PLC</c:v>
                </c:pt>
              </c:strCache>
            </c:strRef>
          </c:cat>
          <c:val>
            <c:numRef>
              <c:f>Graphs!$B$4:$B$13</c:f>
              <c:numCache>
                <c:formatCode>"£"#,##0.00</c:formatCode>
                <c:ptCount val="10"/>
                <c:pt idx="0">
                  <c:v>619102.22</c:v>
                </c:pt>
                <c:pt idx="1">
                  <c:v>613384.78</c:v>
                </c:pt>
                <c:pt idx="2">
                  <c:v>674774.94000000006</c:v>
                </c:pt>
                <c:pt idx="3">
                  <c:v>581268.65</c:v>
                </c:pt>
                <c:pt idx="4">
                  <c:v>589379.40000000014</c:v>
                </c:pt>
                <c:pt idx="5">
                  <c:v>1338947.3800000001</c:v>
                </c:pt>
                <c:pt idx="6">
                  <c:v>1663478.05</c:v>
                </c:pt>
                <c:pt idx="7">
                  <c:v>1038064.8</c:v>
                </c:pt>
                <c:pt idx="8">
                  <c:v>2291369.04</c:v>
                </c:pt>
                <c:pt idx="9">
                  <c:v>1041001.47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DA1-474C-A24F-1E9F9B825E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Total Spend </a:t>
            </a:r>
          </a:p>
        </c:rich>
      </c:tx>
      <c:layout>
        <c:manualLayout>
          <c:xMode val="edge"/>
          <c:yMode val="edge"/>
          <c:x val="0.37029211348581431"/>
          <c:y val="1.29871000167532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Graphs!$B$36</c:f>
              <c:strCache>
                <c:ptCount val="1"/>
                <c:pt idx="0">
                  <c:v>Total Spend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C0C-4945-8BCB-8E68D76788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C0C-4945-8BCB-8E68D76788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C0C-4945-8BCB-8E68D76788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C0C-4945-8BCB-8E68D76788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0C0C-4945-8BCB-8E68D76788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0C0C-4945-8BCB-8E68D76788A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0C0C-4945-8BCB-8E68D76788A0}"/>
              </c:ext>
            </c:extLst>
          </c:dPt>
          <c:dLbls>
            <c:dLbl>
              <c:idx val="0"/>
              <c:layout>
                <c:manualLayout>
                  <c:x val="9.338521400778210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0C-4945-8BCB-8E68D76788A0}"/>
                </c:ext>
              </c:extLst>
            </c:dLbl>
            <c:dLbl>
              <c:idx val="1"/>
              <c:layout>
                <c:manualLayout>
                  <c:x val="1.556420233463035E-2"/>
                  <c:y val="-0.111111111111111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0C-4945-8BCB-8E68D76788A0}"/>
                </c:ext>
              </c:extLst>
            </c:dLbl>
            <c:dLbl>
              <c:idx val="2"/>
              <c:layout>
                <c:manualLayout>
                  <c:x val="0.1556420233463035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0C-4945-8BCB-8E68D76788A0}"/>
                </c:ext>
              </c:extLst>
            </c:dLbl>
            <c:dLbl>
              <c:idx val="3"/>
              <c:layout>
                <c:manualLayout>
                  <c:x val="-9.8573281452658937E-2"/>
                  <c:y val="-8.4875562720133283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0C-4945-8BCB-8E68D76788A0}"/>
                </c:ext>
              </c:extLst>
            </c:dLbl>
            <c:dLbl>
              <c:idx val="4"/>
              <c:layout>
                <c:manualLayout>
                  <c:x val="-4.6692607003891065E-2"/>
                  <c:y val="-9.259259259259343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0C-4945-8BCB-8E68D76788A0}"/>
                </c:ext>
              </c:extLst>
            </c:dLbl>
            <c:dLbl>
              <c:idx val="5"/>
              <c:layout>
                <c:manualLayout>
                  <c:x val="-5.447470817120624E-2"/>
                  <c:y val="-4.16666666666666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C0C-4945-8BCB-8E68D76788A0}"/>
                </c:ext>
              </c:extLst>
            </c:dLbl>
            <c:dLbl>
              <c:idx val="6"/>
              <c:layout>
                <c:manualLayout>
                  <c:x val="-7.782101167315178E-2"/>
                  <c:y val="-6.01851851851851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C0C-4945-8BCB-8E68D76788A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Graphs!$A$37:$A$43</c:f>
              <c:strCache>
                <c:ptCount val="7"/>
                <c:pt idx="0">
                  <c:v>Business Development</c:v>
                </c:pt>
                <c:pt idx="1">
                  <c:v>Business Sysytems Development &amp; Transformational Change</c:v>
                </c:pt>
                <c:pt idx="2">
                  <c:v>Chief Executive</c:v>
                </c:pt>
                <c:pt idx="3">
                  <c:v>Finance</c:v>
                </c:pt>
                <c:pt idx="4">
                  <c:v>Corporate Services Directorate</c:v>
                </c:pt>
                <c:pt idx="5">
                  <c:v>Operations</c:v>
                </c:pt>
                <c:pt idx="6">
                  <c:v>Qualifications</c:v>
                </c:pt>
              </c:strCache>
            </c:strRef>
          </c:cat>
          <c:val>
            <c:numRef>
              <c:f>Graphs!$B$37:$B$43</c:f>
              <c:numCache>
                <c:formatCode>"£"#,##0.00</c:formatCode>
                <c:ptCount val="7"/>
                <c:pt idx="0">
                  <c:v>2445765.5099999998</c:v>
                </c:pt>
                <c:pt idx="1">
                  <c:v>9821239.2400000002</c:v>
                </c:pt>
                <c:pt idx="2">
                  <c:v>175891.53</c:v>
                </c:pt>
                <c:pt idx="3">
                  <c:v>256041.38999999998</c:v>
                </c:pt>
                <c:pt idx="4">
                  <c:v>5501923.7300000004</c:v>
                </c:pt>
                <c:pt idx="5">
                  <c:v>4845463.0900000017</c:v>
                </c:pt>
                <c:pt idx="6">
                  <c:v>1794369.24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C0C-4945-8BCB-8E68D76788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DB29-376A-4C62-8C73-57356496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</Template>
  <TotalTime>0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Robertson</dc:creator>
  <cp:lastModifiedBy>Elaine Robertson</cp:lastModifiedBy>
  <cp:revision>2</cp:revision>
  <cp:lastPrinted>2018-11-06T10:01:00Z</cp:lastPrinted>
  <dcterms:created xsi:type="dcterms:W3CDTF">2018-11-06T10:47:00Z</dcterms:created>
  <dcterms:modified xsi:type="dcterms:W3CDTF">2018-11-06T10:47:00Z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TC010178171033</vt:lpwstr>
  </property>
</Properties>
</file>