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833" w:rsidRDefault="00173833" w:rsidP="00173833">
      <w:pPr>
        <w:rPr>
          <w:rFonts w:ascii="Arial" w:hAnsi="Arial" w:cs="Arial"/>
          <w:b/>
          <w:bCs/>
          <w:sz w:val="44"/>
          <w:szCs w:val="44"/>
        </w:rPr>
      </w:pPr>
      <w:bookmarkStart w:id="0" w:name="_GoBack"/>
      <w:bookmarkEnd w:id="0"/>
      <w:r>
        <w:rPr>
          <w:rFonts w:ascii="Arial" w:hAnsi="Arial" w:cs="Arial"/>
          <w:b/>
          <w:bCs/>
          <w:sz w:val="44"/>
          <w:szCs w:val="44"/>
        </w:rPr>
        <w:tab/>
      </w:r>
      <w:r>
        <w:rPr>
          <w:rFonts w:ascii="Arial" w:hAnsi="Arial" w:cs="Arial"/>
          <w:b/>
          <w:bCs/>
          <w:sz w:val="44"/>
          <w:szCs w:val="44"/>
        </w:rPr>
        <w:tab/>
      </w:r>
      <w:r>
        <w:rPr>
          <w:rFonts w:ascii="Arial" w:hAnsi="Arial" w:cs="Arial"/>
          <w:b/>
          <w:bCs/>
          <w:sz w:val="44"/>
          <w:szCs w:val="44"/>
        </w:rPr>
        <w:tab/>
      </w:r>
      <w:r>
        <w:rPr>
          <w:rFonts w:ascii="Arial" w:hAnsi="Arial" w:cs="Arial"/>
          <w:b/>
          <w:bCs/>
          <w:sz w:val="44"/>
          <w:szCs w:val="44"/>
        </w:rPr>
        <w:tab/>
      </w:r>
      <w:r>
        <w:rPr>
          <w:rFonts w:ascii="Arial" w:hAnsi="Arial" w:cs="Arial"/>
          <w:b/>
          <w:bCs/>
          <w:sz w:val="44"/>
          <w:szCs w:val="44"/>
        </w:rPr>
        <w:tab/>
      </w:r>
      <w:r>
        <w:rPr>
          <w:rFonts w:ascii="Arial" w:hAnsi="Arial" w:cs="Arial"/>
          <w:b/>
          <w:bCs/>
          <w:sz w:val="44"/>
          <w:szCs w:val="44"/>
        </w:rPr>
        <w:tab/>
      </w:r>
      <w:r>
        <w:rPr>
          <w:rFonts w:ascii="Arial" w:hAnsi="Arial" w:cs="Arial"/>
          <w:b/>
          <w:bCs/>
          <w:sz w:val="44"/>
          <w:szCs w:val="44"/>
        </w:rPr>
        <w:tab/>
      </w:r>
      <w:r w:rsidR="00A95EB9">
        <w:rPr>
          <w:rFonts w:ascii="Arial" w:hAnsi="Arial" w:cs="Arial"/>
          <w:b/>
          <w:bCs/>
          <w:sz w:val="44"/>
          <w:szCs w:val="44"/>
        </w:rPr>
        <w:tab/>
      </w:r>
      <w:r w:rsidR="00A95EB9">
        <w:rPr>
          <w:rFonts w:ascii="Arial" w:hAnsi="Arial" w:cs="Arial"/>
          <w:b/>
          <w:bCs/>
          <w:sz w:val="44"/>
          <w:szCs w:val="44"/>
        </w:rPr>
        <w:tab/>
      </w:r>
      <w:r w:rsidR="00AA3448">
        <w:rPr>
          <w:rFonts w:ascii="Arial" w:hAnsi="Arial" w:cs="Arial"/>
          <w:b/>
          <w:bCs/>
          <w:sz w:val="44"/>
          <w:szCs w:val="44"/>
        </w:rPr>
        <w:tab/>
      </w:r>
      <w:r w:rsidR="00AA3448">
        <w:rPr>
          <w:rFonts w:ascii="Arial" w:hAnsi="Arial" w:cs="Arial"/>
          <w:b/>
          <w:bCs/>
          <w:sz w:val="44"/>
          <w:szCs w:val="44"/>
        </w:rPr>
        <w:tab/>
      </w:r>
      <w:r w:rsidR="00AA3448">
        <w:rPr>
          <w:rFonts w:ascii="Arial" w:hAnsi="Arial" w:cs="Arial"/>
          <w:b/>
          <w:bCs/>
          <w:sz w:val="44"/>
          <w:szCs w:val="44"/>
        </w:rPr>
        <w:tab/>
      </w:r>
      <w:r w:rsidR="00AA3448">
        <w:rPr>
          <w:rFonts w:ascii="Arial" w:hAnsi="Arial" w:cs="Arial"/>
          <w:b/>
          <w:bCs/>
          <w:sz w:val="44"/>
          <w:szCs w:val="44"/>
        </w:rPr>
        <w:tab/>
        <w:t xml:space="preserve"> </w:t>
      </w:r>
      <w:r w:rsidR="00AA3448">
        <w:rPr>
          <w:rFonts w:ascii="Arial" w:hAnsi="Arial" w:cs="Arial"/>
          <w:b/>
          <w:bCs/>
          <w:sz w:val="44"/>
          <w:szCs w:val="44"/>
        </w:rPr>
        <w:tab/>
      </w:r>
      <w:r w:rsidR="00AA3448">
        <w:rPr>
          <w:rFonts w:ascii="Arial" w:hAnsi="Arial" w:cs="Arial"/>
          <w:b/>
          <w:bCs/>
          <w:sz w:val="44"/>
          <w:szCs w:val="44"/>
        </w:rPr>
        <w:tab/>
      </w:r>
      <w:r w:rsidR="00AA3448">
        <w:rPr>
          <w:rFonts w:ascii="Arial" w:hAnsi="Arial" w:cs="Arial"/>
          <w:b/>
          <w:bCs/>
          <w:sz w:val="44"/>
          <w:szCs w:val="44"/>
        </w:rPr>
        <w:tab/>
      </w:r>
      <w:r w:rsidR="00AA3448">
        <w:rPr>
          <w:rFonts w:ascii="Arial" w:hAnsi="Arial" w:cs="Arial"/>
          <w:b/>
          <w:bCs/>
          <w:sz w:val="44"/>
          <w:szCs w:val="44"/>
        </w:rPr>
        <w:tab/>
      </w:r>
      <w:r w:rsidR="00AA3448">
        <w:rPr>
          <w:rFonts w:ascii="Arial" w:hAnsi="Arial" w:cs="Arial"/>
          <w:b/>
          <w:bCs/>
          <w:sz w:val="44"/>
          <w:szCs w:val="44"/>
        </w:rPr>
        <w:tab/>
      </w:r>
      <w:r w:rsidR="00AA3448">
        <w:rPr>
          <w:rFonts w:ascii="Arial" w:hAnsi="Arial" w:cs="Arial"/>
          <w:b/>
          <w:bCs/>
          <w:sz w:val="44"/>
          <w:szCs w:val="44"/>
        </w:rPr>
        <w:tab/>
      </w:r>
      <w:r w:rsidR="00AA3448">
        <w:rPr>
          <w:rFonts w:ascii="Arial" w:hAnsi="Arial" w:cs="Arial"/>
          <w:b/>
          <w:bCs/>
          <w:sz w:val="44"/>
          <w:szCs w:val="44"/>
        </w:rPr>
        <w:tab/>
      </w:r>
      <w:r>
        <w:rPr>
          <w:rFonts w:ascii="Arial" w:hAnsi="Arial" w:cs="Arial"/>
          <w:noProof/>
          <w:color w:val="000000"/>
          <w:lang w:eastAsia="en-GB"/>
        </w:rPr>
        <w:drawing>
          <wp:inline distT="0" distB="0" distL="0" distR="0" wp14:anchorId="44F2C4D8" wp14:editId="307658D4">
            <wp:extent cx="19716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1047750"/>
                    </a:xfrm>
                    <a:prstGeom prst="rect">
                      <a:avLst/>
                    </a:prstGeom>
                    <a:noFill/>
                    <a:ln>
                      <a:noFill/>
                    </a:ln>
                  </pic:spPr>
                </pic:pic>
              </a:graphicData>
            </a:graphic>
          </wp:inline>
        </w:drawing>
      </w:r>
    </w:p>
    <w:p w:rsidR="00AA3448" w:rsidRDefault="00AA3448" w:rsidP="00173833">
      <w:pPr>
        <w:rPr>
          <w:rFonts w:ascii="Arial" w:hAnsi="Arial" w:cs="Arial"/>
          <w:b/>
          <w:bCs/>
          <w:sz w:val="44"/>
          <w:szCs w:val="44"/>
        </w:rPr>
      </w:pPr>
    </w:p>
    <w:p w:rsidR="00F35701" w:rsidRDefault="00F35701" w:rsidP="00F35701">
      <w:pPr>
        <w:rPr>
          <w:rFonts w:ascii="Arial" w:hAnsi="Arial" w:cs="Arial"/>
          <w:b/>
          <w:bCs/>
          <w:sz w:val="44"/>
          <w:szCs w:val="44"/>
        </w:rPr>
      </w:pPr>
      <w:r w:rsidRPr="00CC3F2D">
        <w:rPr>
          <w:rFonts w:ascii="Arial" w:hAnsi="Arial" w:cs="Arial"/>
          <w:b/>
          <w:bCs/>
          <w:sz w:val="44"/>
          <w:szCs w:val="44"/>
        </w:rPr>
        <w:t xml:space="preserve">SVQs in Business and Administration </w:t>
      </w:r>
    </w:p>
    <w:p w:rsidR="00F35701" w:rsidRDefault="00F35701" w:rsidP="00F35701">
      <w:pPr>
        <w:rPr>
          <w:rFonts w:ascii="Arial" w:hAnsi="Arial" w:cs="Arial"/>
          <w:b/>
          <w:bCs/>
          <w:sz w:val="2"/>
          <w:szCs w:val="2"/>
        </w:rPr>
      </w:pPr>
    </w:p>
    <w:p w:rsidR="00F35701" w:rsidRDefault="00F35701" w:rsidP="00F35701">
      <w:pPr>
        <w:rPr>
          <w:rFonts w:ascii="Arial" w:hAnsi="Arial" w:cs="Arial"/>
          <w:b/>
          <w:bCs/>
          <w:sz w:val="36"/>
          <w:szCs w:val="36"/>
        </w:rPr>
      </w:pPr>
      <w:r>
        <w:rPr>
          <w:rFonts w:ascii="Arial" w:hAnsi="Arial" w:cs="Arial"/>
          <w:b/>
          <w:bCs/>
          <w:sz w:val="36"/>
          <w:szCs w:val="36"/>
        </w:rPr>
        <w:t>Frequently Asked Questions (FAQ)</w:t>
      </w:r>
    </w:p>
    <w:p w:rsidR="00F35701" w:rsidRDefault="00F35701" w:rsidP="00F35701">
      <w:pPr>
        <w:pStyle w:val="ListParagraph"/>
        <w:ind w:left="0"/>
        <w:rPr>
          <w:rFonts w:ascii="Arial" w:hAnsi="Arial" w:cs="Arial"/>
          <w:b/>
          <w:sz w:val="2"/>
          <w:szCs w:val="2"/>
        </w:rPr>
      </w:pPr>
    </w:p>
    <w:p w:rsidR="00F35701" w:rsidRDefault="00F35701" w:rsidP="00F35701">
      <w:pPr>
        <w:pStyle w:val="ListParagraph"/>
        <w:ind w:left="0"/>
        <w:rPr>
          <w:rFonts w:ascii="Arial" w:hAnsi="Arial" w:cs="Arial"/>
          <w:color w:val="000000" w:themeColor="text1"/>
        </w:rPr>
      </w:pPr>
      <w:r>
        <w:rPr>
          <w:rFonts w:ascii="Arial" w:hAnsi="Arial" w:cs="Arial"/>
          <w:color w:val="000000" w:themeColor="text1"/>
        </w:rPr>
        <w:t xml:space="preserve"> </w:t>
      </w:r>
    </w:p>
    <w:p w:rsidR="00B110F1" w:rsidRDefault="002B4D94" w:rsidP="00173833">
      <w:pPr>
        <w:rPr>
          <w:rFonts w:ascii="Arial" w:hAnsi="Arial" w:cs="Arial"/>
          <w:b/>
          <w:bCs/>
        </w:rPr>
        <w:sectPr w:rsidR="00B110F1" w:rsidSect="007E0D28">
          <w:footerReference w:type="default" r:id="rId9"/>
          <w:pgSz w:w="11906" w:h="16838"/>
          <w:pgMar w:top="1135" w:right="1440" w:bottom="1134" w:left="1440" w:header="708" w:footer="708" w:gutter="0"/>
          <w:cols w:space="708"/>
          <w:docGrid w:linePitch="360"/>
        </w:sectPr>
      </w:pPr>
      <w:r>
        <w:rPr>
          <w:rFonts w:ascii="Arial" w:hAnsi="Arial" w:cs="Arial"/>
          <w:b/>
          <w:color w:val="000000" w:themeColor="text1"/>
          <w:sz w:val="28"/>
          <w:szCs w:val="28"/>
        </w:rPr>
        <w:t>July 201</w:t>
      </w:r>
      <w:r w:rsidR="00CC6AD9">
        <w:rPr>
          <w:rFonts w:ascii="Arial" w:hAnsi="Arial" w:cs="Arial"/>
          <w:b/>
          <w:color w:val="000000" w:themeColor="text1"/>
          <w:sz w:val="28"/>
          <w:szCs w:val="28"/>
        </w:rPr>
        <w:t>9</w:t>
      </w:r>
    </w:p>
    <w:p w:rsidR="00173833" w:rsidRDefault="00173833" w:rsidP="00AA3448">
      <w:pPr>
        <w:spacing w:after="0" w:line="240" w:lineRule="auto"/>
        <w:rPr>
          <w:rFonts w:ascii="Arial" w:hAnsi="Arial" w:cs="Arial"/>
          <w:b/>
          <w:bCs/>
        </w:rPr>
      </w:pPr>
    </w:p>
    <w:tbl>
      <w:tblPr>
        <w:tblStyle w:val="TableGrid"/>
        <w:tblW w:w="10093" w:type="dxa"/>
        <w:tblInd w:w="-459" w:type="dxa"/>
        <w:tblLook w:val="04A0" w:firstRow="1" w:lastRow="0" w:firstColumn="1" w:lastColumn="0" w:noHBand="0" w:noVBand="1"/>
      </w:tblPr>
      <w:tblGrid>
        <w:gridCol w:w="10093"/>
      </w:tblGrid>
      <w:tr w:rsidR="00173833" w:rsidTr="007E0D28">
        <w:tc>
          <w:tcPr>
            <w:tcW w:w="10093" w:type="dxa"/>
            <w:shd w:val="clear" w:color="auto" w:fill="D9D9D9" w:themeFill="background1" w:themeFillShade="D9"/>
          </w:tcPr>
          <w:p w:rsidR="00173833" w:rsidRDefault="00C36542" w:rsidP="008655F5">
            <w:pPr>
              <w:pStyle w:val="ListParagraph"/>
              <w:ind w:left="0"/>
              <w:rPr>
                <w:rFonts w:ascii="Arial" w:hAnsi="Arial" w:cs="Arial"/>
                <w:b/>
                <w:bCs/>
                <w:color w:val="7030A0"/>
              </w:rPr>
            </w:pPr>
            <w:r>
              <w:rPr>
                <w:rFonts w:ascii="Arial" w:hAnsi="Arial" w:cs="Arial"/>
                <w:b/>
                <w:bCs/>
              </w:rPr>
              <w:t>How is competence over time evidenced</w:t>
            </w:r>
            <w:r w:rsidR="00173833" w:rsidRPr="005A7A83">
              <w:rPr>
                <w:rFonts w:ascii="Arial" w:hAnsi="Arial" w:cs="Arial"/>
                <w:b/>
                <w:bCs/>
              </w:rPr>
              <w:t>?</w:t>
            </w:r>
          </w:p>
        </w:tc>
      </w:tr>
      <w:tr w:rsidR="00173833" w:rsidTr="007E0D28">
        <w:tc>
          <w:tcPr>
            <w:tcW w:w="10093" w:type="dxa"/>
          </w:tcPr>
          <w:p w:rsidR="00173833" w:rsidRDefault="002B4D94" w:rsidP="008655F5">
            <w:pPr>
              <w:pStyle w:val="ListParagraph"/>
              <w:ind w:left="0"/>
              <w:rPr>
                <w:rFonts w:ascii="Arial" w:hAnsi="Arial" w:cs="Arial"/>
              </w:rPr>
            </w:pPr>
            <w:r>
              <w:rPr>
                <w:rFonts w:ascii="Arial" w:hAnsi="Arial" w:cs="Arial"/>
              </w:rPr>
              <w:br/>
            </w:r>
            <w:r w:rsidR="00A441D6">
              <w:rPr>
                <w:rFonts w:ascii="Arial" w:hAnsi="Arial" w:cs="Arial"/>
              </w:rPr>
              <w:t xml:space="preserve">Demonstration of </w:t>
            </w:r>
            <w:r w:rsidR="00A441D6" w:rsidRPr="006D4D72">
              <w:rPr>
                <w:rFonts w:ascii="Arial" w:hAnsi="Arial" w:cs="Arial"/>
                <w:b/>
              </w:rPr>
              <w:t>c</w:t>
            </w:r>
            <w:r w:rsidR="00173833" w:rsidRPr="006D4D72">
              <w:rPr>
                <w:rFonts w:ascii="Arial" w:hAnsi="Arial" w:cs="Arial"/>
                <w:b/>
              </w:rPr>
              <w:t>ompetence over time</w:t>
            </w:r>
            <w:r w:rsidR="00173833">
              <w:rPr>
                <w:rFonts w:ascii="Arial" w:hAnsi="Arial" w:cs="Arial"/>
              </w:rPr>
              <w:t xml:space="preserve"> is </w:t>
            </w:r>
            <w:r w:rsidR="00A441D6">
              <w:rPr>
                <w:rFonts w:ascii="Arial" w:hAnsi="Arial" w:cs="Arial"/>
              </w:rPr>
              <w:t>important</w:t>
            </w:r>
            <w:r w:rsidR="007D303B">
              <w:rPr>
                <w:rFonts w:ascii="Arial" w:hAnsi="Arial" w:cs="Arial"/>
              </w:rPr>
              <w:t>,</w:t>
            </w:r>
            <w:r w:rsidR="00A441D6">
              <w:rPr>
                <w:rFonts w:ascii="Arial" w:hAnsi="Arial" w:cs="Arial"/>
              </w:rPr>
              <w:t xml:space="preserve"> as it</w:t>
            </w:r>
            <w:r w:rsidR="00C36542">
              <w:rPr>
                <w:rFonts w:ascii="Arial" w:hAnsi="Arial" w:cs="Arial"/>
              </w:rPr>
              <w:t xml:space="preserve"> provides </w:t>
            </w:r>
            <w:r w:rsidR="0014430F">
              <w:rPr>
                <w:rFonts w:ascii="Arial" w:hAnsi="Arial" w:cs="Arial"/>
              </w:rPr>
              <w:t xml:space="preserve">a high </w:t>
            </w:r>
            <w:r w:rsidR="00A441D6">
              <w:rPr>
                <w:rFonts w:ascii="Arial" w:hAnsi="Arial" w:cs="Arial"/>
              </w:rPr>
              <w:t>degree</w:t>
            </w:r>
            <w:r w:rsidR="0014430F">
              <w:rPr>
                <w:rFonts w:ascii="Arial" w:hAnsi="Arial" w:cs="Arial"/>
              </w:rPr>
              <w:t xml:space="preserve"> of</w:t>
            </w:r>
            <w:r w:rsidR="00C36542">
              <w:rPr>
                <w:rFonts w:ascii="Arial" w:hAnsi="Arial" w:cs="Arial"/>
              </w:rPr>
              <w:t xml:space="preserve"> </w:t>
            </w:r>
            <w:r w:rsidR="00C36542" w:rsidRPr="006D4D72">
              <w:rPr>
                <w:rFonts w:ascii="Arial" w:hAnsi="Arial" w:cs="Arial"/>
                <w:b/>
              </w:rPr>
              <w:t>confidence</w:t>
            </w:r>
            <w:r w:rsidR="00C36542">
              <w:rPr>
                <w:rFonts w:ascii="Arial" w:hAnsi="Arial" w:cs="Arial"/>
              </w:rPr>
              <w:t xml:space="preserve"> that</w:t>
            </w:r>
            <w:r w:rsidR="00A441D6">
              <w:rPr>
                <w:rFonts w:ascii="Arial" w:hAnsi="Arial" w:cs="Arial"/>
              </w:rPr>
              <w:t xml:space="preserve"> the </w:t>
            </w:r>
            <w:r w:rsidR="00A441D6" w:rsidRPr="006D4D72">
              <w:rPr>
                <w:rFonts w:ascii="Arial" w:hAnsi="Arial" w:cs="Arial"/>
                <w:b/>
              </w:rPr>
              <w:t>evidence</w:t>
            </w:r>
            <w:r w:rsidR="00A441D6">
              <w:rPr>
                <w:rFonts w:ascii="Arial" w:hAnsi="Arial" w:cs="Arial"/>
              </w:rPr>
              <w:t xml:space="preserve"> (</w:t>
            </w:r>
            <w:r w:rsidR="0014430F">
              <w:rPr>
                <w:rFonts w:ascii="Arial" w:hAnsi="Arial" w:cs="Arial"/>
              </w:rPr>
              <w:t xml:space="preserve">and </w:t>
            </w:r>
            <w:r w:rsidR="00A441D6">
              <w:rPr>
                <w:rFonts w:ascii="Arial" w:hAnsi="Arial" w:cs="Arial"/>
              </w:rPr>
              <w:t xml:space="preserve">therefore </w:t>
            </w:r>
            <w:r w:rsidR="0014430F" w:rsidRPr="006D4D72">
              <w:rPr>
                <w:rFonts w:ascii="Arial" w:hAnsi="Arial" w:cs="Arial"/>
                <w:b/>
              </w:rPr>
              <w:t>assessment</w:t>
            </w:r>
            <w:r w:rsidR="00C36542" w:rsidRPr="006D4D72">
              <w:rPr>
                <w:rFonts w:ascii="Arial" w:hAnsi="Arial" w:cs="Arial"/>
                <w:b/>
              </w:rPr>
              <w:t xml:space="preserve"> judgements</w:t>
            </w:r>
            <w:r w:rsidR="00A441D6">
              <w:rPr>
                <w:rFonts w:ascii="Arial" w:hAnsi="Arial" w:cs="Arial"/>
              </w:rPr>
              <w:t>)</w:t>
            </w:r>
            <w:r w:rsidR="00C36542">
              <w:rPr>
                <w:rFonts w:ascii="Arial" w:hAnsi="Arial" w:cs="Arial"/>
              </w:rPr>
              <w:t xml:space="preserve"> </w:t>
            </w:r>
            <w:r w:rsidR="0014430F">
              <w:rPr>
                <w:rFonts w:ascii="Arial" w:hAnsi="Arial" w:cs="Arial"/>
              </w:rPr>
              <w:t xml:space="preserve">are a </w:t>
            </w:r>
            <w:r w:rsidR="0014430F" w:rsidRPr="006D4D72">
              <w:rPr>
                <w:rFonts w:ascii="Arial" w:hAnsi="Arial" w:cs="Arial"/>
                <w:b/>
              </w:rPr>
              <w:t>true reflection</w:t>
            </w:r>
            <w:r w:rsidR="0014430F">
              <w:rPr>
                <w:rFonts w:ascii="Arial" w:hAnsi="Arial" w:cs="Arial"/>
              </w:rPr>
              <w:t xml:space="preserve"> of </w:t>
            </w:r>
            <w:r w:rsidR="00E22BAD">
              <w:rPr>
                <w:rFonts w:ascii="Arial" w:hAnsi="Arial" w:cs="Arial"/>
              </w:rPr>
              <w:t>the candidate</w:t>
            </w:r>
            <w:r w:rsidR="00217391">
              <w:rPr>
                <w:rFonts w:ascii="Arial" w:hAnsi="Arial" w:cs="Arial"/>
              </w:rPr>
              <w:t>’s</w:t>
            </w:r>
            <w:r w:rsidR="00E22BAD">
              <w:rPr>
                <w:rFonts w:ascii="Arial" w:hAnsi="Arial" w:cs="Arial"/>
              </w:rPr>
              <w:t xml:space="preserve"> </w:t>
            </w:r>
            <w:r w:rsidR="00AD0C47" w:rsidRPr="006D4D72">
              <w:rPr>
                <w:rFonts w:ascii="Arial" w:hAnsi="Arial" w:cs="Arial"/>
                <w:b/>
              </w:rPr>
              <w:t>competence</w:t>
            </w:r>
            <w:r w:rsidR="00AD0C47">
              <w:rPr>
                <w:rFonts w:ascii="Arial" w:hAnsi="Arial" w:cs="Arial"/>
              </w:rPr>
              <w:t xml:space="preserve"> in</w:t>
            </w:r>
            <w:r w:rsidR="00A441D6">
              <w:rPr>
                <w:rFonts w:ascii="Arial" w:hAnsi="Arial" w:cs="Arial"/>
              </w:rPr>
              <w:t xml:space="preserve"> their </w:t>
            </w:r>
            <w:r w:rsidR="00A441D6" w:rsidRPr="006D4D72">
              <w:rPr>
                <w:rFonts w:ascii="Arial" w:hAnsi="Arial" w:cs="Arial"/>
                <w:b/>
              </w:rPr>
              <w:t xml:space="preserve">job role </w:t>
            </w:r>
            <w:r w:rsidR="00A441D6">
              <w:rPr>
                <w:rFonts w:ascii="Arial" w:hAnsi="Arial" w:cs="Arial"/>
              </w:rPr>
              <w:t>and not</w:t>
            </w:r>
            <w:r w:rsidR="007D303B">
              <w:rPr>
                <w:rFonts w:ascii="Arial" w:hAnsi="Arial" w:cs="Arial"/>
              </w:rPr>
              <w:t xml:space="preserve"> a one-off or</w:t>
            </w:r>
            <w:r w:rsidR="00A441D6">
              <w:rPr>
                <w:rFonts w:ascii="Arial" w:hAnsi="Arial" w:cs="Arial"/>
              </w:rPr>
              <w:t xml:space="preserve"> unduly </w:t>
            </w:r>
            <w:r w:rsidR="00981F07">
              <w:rPr>
                <w:rFonts w:ascii="Arial" w:hAnsi="Arial" w:cs="Arial"/>
              </w:rPr>
              <w:t>influenced</w:t>
            </w:r>
            <w:r w:rsidR="00A441D6">
              <w:rPr>
                <w:rFonts w:ascii="Arial" w:hAnsi="Arial" w:cs="Arial"/>
              </w:rPr>
              <w:t xml:space="preserve"> by exceptional factors.</w:t>
            </w:r>
          </w:p>
          <w:p w:rsidR="00822699" w:rsidRPr="001C3371" w:rsidRDefault="00822699" w:rsidP="00822699">
            <w:pPr>
              <w:pStyle w:val="ListParagraph"/>
              <w:ind w:left="0"/>
              <w:rPr>
                <w:rFonts w:ascii="Arial" w:hAnsi="Arial" w:cs="Arial"/>
              </w:rPr>
            </w:pPr>
            <w:r>
              <w:rPr>
                <w:rFonts w:ascii="Arial" w:hAnsi="Arial" w:cs="Arial"/>
              </w:rPr>
              <w:t>This is best evidenced by</w:t>
            </w:r>
            <w:r w:rsidRPr="001C3371">
              <w:rPr>
                <w:rFonts w:ascii="Arial" w:hAnsi="Arial" w:cs="Arial"/>
              </w:rPr>
              <w:t xml:space="preserve"> </w:t>
            </w:r>
            <w:r>
              <w:rPr>
                <w:rFonts w:ascii="Arial" w:hAnsi="Arial" w:cs="Arial"/>
                <w:b/>
                <w:color w:val="000000" w:themeColor="text1"/>
              </w:rPr>
              <w:t>triangulation</w:t>
            </w:r>
            <w:r w:rsidRPr="001C3371">
              <w:rPr>
                <w:rFonts w:ascii="Arial" w:hAnsi="Arial" w:cs="Arial"/>
              </w:rPr>
              <w:t xml:space="preserve"> of performance and supporting evidence</w:t>
            </w:r>
            <w:r w:rsidR="00217391">
              <w:rPr>
                <w:rFonts w:ascii="Arial" w:hAnsi="Arial" w:cs="Arial"/>
              </w:rPr>
              <w:t xml:space="preserve"> that</w:t>
            </w:r>
            <w:r>
              <w:rPr>
                <w:rFonts w:ascii="Arial" w:hAnsi="Arial" w:cs="Arial"/>
              </w:rPr>
              <w:t xml:space="preserve"> complement and reinforce each other.</w:t>
            </w:r>
            <w:r w:rsidR="00290887">
              <w:rPr>
                <w:rFonts w:ascii="Arial" w:hAnsi="Arial" w:cs="Arial"/>
              </w:rPr>
              <w:t xml:space="preserve"> For example, </w:t>
            </w:r>
            <w:r w:rsidR="006D4D72">
              <w:rPr>
                <w:rFonts w:ascii="Arial" w:hAnsi="Arial" w:cs="Arial"/>
                <w:b/>
              </w:rPr>
              <w:t>W</w:t>
            </w:r>
            <w:r w:rsidR="00290887" w:rsidRPr="00290887">
              <w:rPr>
                <w:rFonts w:ascii="Arial" w:hAnsi="Arial" w:cs="Arial"/>
                <w:b/>
              </w:rPr>
              <w:t xml:space="preserve">ork </w:t>
            </w:r>
            <w:r w:rsidR="006D4D72">
              <w:rPr>
                <w:rFonts w:ascii="Arial" w:hAnsi="Arial" w:cs="Arial"/>
                <w:b/>
              </w:rPr>
              <w:t>P</w:t>
            </w:r>
            <w:r w:rsidR="00290887" w:rsidRPr="00290887">
              <w:rPr>
                <w:rFonts w:ascii="Arial" w:hAnsi="Arial" w:cs="Arial"/>
                <w:b/>
              </w:rPr>
              <w:t>roduct</w:t>
            </w:r>
            <w:r w:rsidR="00290887">
              <w:rPr>
                <w:rFonts w:ascii="Arial" w:hAnsi="Arial" w:cs="Arial"/>
              </w:rPr>
              <w:t xml:space="preserve"> supported by a </w:t>
            </w:r>
            <w:r w:rsidR="006D4D72">
              <w:rPr>
                <w:rFonts w:ascii="Arial" w:hAnsi="Arial" w:cs="Arial"/>
                <w:b/>
              </w:rPr>
              <w:t>P</w:t>
            </w:r>
            <w:r w:rsidR="00290887">
              <w:rPr>
                <w:rFonts w:ascii="Arial" w:hAnsi="Arial" w:cs="Arial"/>
                <w:b/>
              </w:rPr>
              <w:t xml:space="preserve">ersonal </w:t>
            </w:r>
            <w:r w:rsidR="006D4D72">
              <w:rPr>
                <w:rFonts w:ascii="Arial" w:hAnsi="Arial" w:cs="Arial"/>
                <w:b/>
              </w:rPr>
              <w:t>S</w:t>
            </w:r>
            <w:r w:rsidR="00290887">
              <w:rPr>
                <w:rFonts w:ascii="Arial" w:hAnsi="Arial" w:cs="Arial"/>
                <w:b/>
              </w:rPr>
              <w:t xml:space="preserve">tatement </w:t>
            </w:r>
            <w:r w:rsidR="00290887">
              <w:rPr>
                <w:rFonts w:ascii="Arial" w:hAnsi="Arial" w:cs="Arial"/>
              </w:rPr>
              <w:t xml:space="preserve">and </w:t>
            </w:r>
            <w:r w:rsidR="006D4D72">
              <w:rPr>
                <w:rFonts w:ascii="Arial" w:hAnsi="Arial" w:cs="Arial"/>
                <w:b/>
              </w:rPr>
              <w:t>W</w:t>
            </w:r>
            <w:r w:rsidR="00290887">
              <w:rPr>
                <w:rFonts w:ascii="Arial" w:hAnsi="Arial" w:cs="Arial"/>
                <w:b/>
              </w:rPr>
              <w:t xml:space="preserve">itness </w:t>
            </w:r>
            <w:r w:rsidR="006D4D72">
              <w:rPr>
                <w:rFonts w:ascii="Arial" w:hAnsi="Arial" w:cs="Arial"/>
                <w:b/>
              </w:rPr>
              <w:t>T</w:t>
            </w:r>
            <w:r w:rsidR="00290887">
              <w:rPr>
                <w:rFonts w:ascii="Arial" w:hAnsi="Arial" w:cs="Arial"/>
                <w:b/>
              </w:rPr>
              <w:t xml:space="preserve">estimony </w:t>
            </w:r>
            <w:r w:rsidR="00C205B5">
              <w:rPr>
                <w:rFonts w:ascii="Arial" w:hAnsi="Arial" w:cs="Arial"/>
              </w:rPr>
              <w:t>providing</w:t>
            </w:r>
            <w:r w:rsidR="00217391">
              <w:rPr>
                <w:rFonts w:ascii="Arial" w:hAnsi="Arial" w:cs="Arial"/>
              </w:rPr>
              <w:t xml:space="preserve"> a consistent account of the same competence</w:t>
            </w:r>
            <w:r w:rsidR="00C205B5">
              <w:rPr>
                <w:rFonts w:ascii="Arial" w:hAnsi="Arial" w:cs="Arial"/>
              </w:rPr>
              <w:t>s</w:t>
            </w:r>
            <w:r w:rsidR="00217391">
              <w:rPr>
                <w:rFonts w:ascii="Arial" w:hAnsi="Arial" w:cs="Arial"/>
              </w:rPr>
              <w:t xml:space="preserve">. </w:t>
            </w:r>
            <w:r w:rsidR="00290887">
              <w:rPr>
                <w:rFonts w:ascii="Arial" w:hAnsi="Arial" w:cs="Arial"/>
              </w:rPr>
              <w:t xml:space="preserve">This </w:t>
            </w:r>
            <w:r w:rsidR="00217391">
              <w:rPr>
                <w:rFonts w:ascii="Arial" w:hAnsi="Arial" w:cs="Arial"/>
              </w:rPr>
              <w:t>provides far more in</w:t>
            </w:r>
            <w:r w:rsidR="004B5F63">
              <w:rPr>
                <w:rFonts w:ascii="Arial" w:hAnsi="Arial" w:cs="Arial"/>
              </w:rPr>
              <w:t>sight</w:t>
            </w:r>
            <w:r w:rsidR="00217391">
              <w:rPr>
                <w:rFonts w:ascii="Arial" w:hAnsi="Arial" w:cs="Arial"/>
              </w:rPr>
              <w:t xml:space="preserve"> and is</w:t>
            </w:r>
            <w:r w:rsidR="00290887">
              <w:rPr>
                <w:rFonts w:ascii="Arial" w:hAnsi="Arial" w:cs="Arial"/>
              </w:rPr>
              <w:t xml:space="preserve"> more effective than </w:t>
            </w:r>
            <w:r w:rsidR="00217391">
              <w:rPr>
                <w:rFonts w:ascii="Arial" w:hAnsi="Arial" w:cs="Arial"/>
              </w:rPr>
              <w:t xml:space="preserve">multiple items of very similar evidence that may lack context (e.g. </w:t>
            </w:r>
            <w:r w:rsidR="004B5F63">
              <w:rPr>
                <w:rFonts w:ascii="Arial" w:hAnsi="Arial" w:cs="Arial"/>
              </w:rPr>
              <w:t xml:space="preserve">multiple </w:t>
            </w:r>
            <w:r w:rsidR="00217391">
              <w:rPr>
                <w:rFonts w:ascii="Arial" w:hAnsi="Arial" w:cs="Arial"/>
              </w:rPr>
              <w:t>word-processed documents without annotation).</w:t>
            </w:r>
          </w:p>
          <w:p w:rsidR="00217391" w:rsidRDefault="008655F5" w:rsidP="008655F5">
            <w:pPr>
              <w:pStyle w:val="ListParagraph"/>
              <w:ind w:left="0"/>
              <w:rPr>
                <w:rFonts w:ascii="Arial" w:hAnsi="Arial" w:cs="Arial"/>
              </w:rPr>
            </w:pPr>
            <w:r>
              <w:rPr>
                <w:rFonts w:ascii="Arial" w:hAnsi="Arial" w:cs="Arial"/>
              </w:rPr>
              <w:t xml:space="preserve">Demonstrating competence over time may involve more than one item of </w:t>
            </w:r>
            <w:r w:rsidR="00F901C7" w:rsidRPr="00F901C7">
              <w:rPr>
                <w:rFonts w:ascii="Arial" w:hAnsi="Arial" w:cs="Arial"/>
                <w:b/>
              </w:rPr>
              <w:t>p</w:t>
            </w:r>
            <w:r w:rsidRPr="00F901C7">
              <w:rPr>
                <w:rFonts w:ascii="Arial" w:hAnsi="Arial" w:cs="Arial"/>
                <w:b/>
              </w:rPr>
              <w:t>e</w:t>
            </w:r>
            <w:r w:rsidR="00822699" w:rsidRPr="00F901C7">
              <w:rPr>
                <w:rFonts w:ascii="Arial" w:hAnsi="Arial" w:cs="Arial"/>
                <w:b/>
              </w:rPr>
              <w:t xml:space="preserve">rformance </w:t>
            </w:r>
            <w:r w:rsidR="00F901C7" w:rsidRPr="00F901C7">
              <w:rPr>
                <w:rFonts w:ascii="Arial" w:hAnsi="Arial" w:cs="Arial"/>
                <w:b/>
              </w:rPr>
              <w:t>e</w:t>
            </w:r>
            <w:r w:rsidR="00822699" w:rsidRPr="00F901C7">
              <w:rPr>
                <w:rFonts w:ascii="Arial" w:hAnsi="Arial" w:cs="Arial"/>
                <w:b/>
              </w:rPr>
              <w:t>vidence</w:t>
            </w:r>
            <w:r w:rsidR="00822699">
              <w:rPr>
                <w:rFonts w:ascii="Arial" w:hAnsi="Arial" w:cs="Arial"/>
              </w:rPr>
              <w:t>, however this</w:t>
            </w:r>
            <w:r>
              <w:rPr>
                <w:rFonts w:ascii="Arial" w:hAnsi="Arial" w:cs="Arial"/>
              </w:rPr>
              <w:t xml:space="preserve"> would depend on the scope and depth of particular tasks</w:t>
            </w:r>
            <w:r w:rsidR="00087C73">
              <w:rPr>
                <w:rFonts w:ascii="Arial" w:hAnsi="Arial" w:cs="Arial"/>
              </w:rPr>
              <w:t xml:space="preserve"> and the requirements of the </w:t>
            </w:r>
            <w:r w:rsidR="00087C73" w:rsidRPr="00087C73">
              <w:rPr>
                <w:rFonts w:ascii="Arial" w:hAnsi="Arial" w:cs="Arial"/>
                <w:b/>
              </w:rPr>
              <w:t>Performance Indicators (PIs)</w:t>
            </w:r>
            <w:r>
              <w:rPr>
                <w:rFonts w:ascii="Arial" w:hAnsi="Arial" w:cs="Arial"/>
              </w:rPr>
              <w:t xml:space="preserve">. For example, </w:t>
            </w:r>
            <w:r w:rsidR="00DF5C26">
              <w:rPr>
                <w:rFonts w:ascii="Arial" w:hAnsi="Arial" w:cs="Arial"/>
              </w:rPr>
              <w:t>a</w:t>
            </w:r>
            <w:r w:rsidR="00822699">
              <w:rPr>
                <w:rFonts w:ascii="Arial" w:hAnsi="Arial" w:cs="Arial"/>
              </w:rPr>
              <w:t xml:space="preserve"> </w:t>
            </w:r>
            <w:r>
              <w:rPr>
                <w:rFonts w:ascii="Arial" w:hAnsi="Arial" w:cs="Arial"/>
              </w:rPr>
              <w:t>presentation</w:t>
            </w:r>
            <w:r w:rsidR="00822699">
              <w:rPr>
                <w:rFonts w:ascii="Arial" w:hAnsi="Arial" w:cs="Arial"/>
              </w:rPr>
              <w:t xml:space="preserve"> </w:t>
            </w:r>
            <w:r>
              <w:rPr>
                <w:rFonts w:ascii="Arial" w:hAnsi="Arial" w:cs="Arial"/>
              </w:rPr>
              <w:t>to an audience de</w:t>
            </w:r>
            <w:r w:rsidR="00822699">
              <w:rPr>
                <w:rFonts w:ascii="Arial" w:hAnsi="Arial" w:cs="Arial"/>
              </w:rPr>
              <w:t>livered clearly and confidently;</w:t>
            </w:r>
            <w:r>
              <w:rPr>
                <w:rFonts w:ascii="Arial" w:hAnsi="Arial" w:cs="Arial"/>
              </w:rPr>
              <w:t xml:space="preserve"> using appropriate tone, pace, body language etc, </w:t>
            </w:r>
            <w:r w:rsidR="00822699">
              <w:rPr>
                <w:rFonts w:ascii="Arial" w:hAnsi="Arial" w:cs="Arial"/>
              </w:rPr>
              <w:t xml:space="preserve">and </w:t>
            </w:r>
            <w:r>
              <w:rPr>
                <w:rFonts w:ascii="Arial" w:hAnsi="Arial" w:cs="Arial"/>
              </w:rPr>
              <w:t>supported effecti</w:t>
            </w:r>
            <w:r w:rsidR="00822699">
              <w:rPr>
                <w:rFonts w:ascii="Arial" w:hAnsi="Arial" w:cs="Arial"/>
              </w:rPr>
              <w:t>vely by equipment and materials, may well be sufficient to satisfy the assessor that the candidate is competent.</w:t>
            </w:r>
            <w:r w:rsidR="00C205B5">
              <w:rPr>
                <w:rFonts w:ascii="Arial" w:hAnsi="Arial" w:cs="Arial"/>
              </w:rPr>
              <w:t xml:space="preserve"> A presentation is a holistic task that brings together a number of competences </w:t>
            </w:r>
            <w:r w:rsidR="008F5223">
              <w:rPr>
                <w:rFonts w:ascii="Arial" w:hAnsi="Arial" w:cs="Arial"/>
              </w:rPr>
              <w:t>and</w:t>
            </w:r>
            <w:r w:rsidR="00551E94">
              <w:rPr>
                <w:rFonts w:ascii="Arial" w:hAnsi="Arial" w:cs="Arial"/>
              </w:rPr>
              <w:t xml:space="preserve"> </w:t>
            </w:r>
            <w:r w:rsidR="006D4D72">
              <w:rPr>
                <w:rFonts w:ascii="Arial" w:hAnsi="Arial" w:cs="Arial"/>
              </w:rPr>
              <w:t>it is unlikely someone who is not competent could meet all these criteria as a one-off fluke.</w:t>
            </w:r>
          </w:p>
          <w:p w:rsidR="00217391" w:rsidRPr="00404FC8" w:rsidRDefault="00217391" w:rsidP="008655F5">
            <w:pPr>
              <w:pStyle w:val="ListParagraph"/>
              <w:ind w:left="0"/>
              <w:rPr>
                <w:rFonts w:ascii="Arial" w:hAnsi="Arial" w:cs="Arial"/>
              </w:rPr>
            </w:pPr>
            <w:r>
              <w:rPr>
                <w:rFonts w:ascii="Arial" w:hAnsi="Arial" w:cs="Arial"/>
              </w:rPr>
              <w:t xml:space="preserve">On the other hand, </w:t>
            </w:r>
            <w:r w:rsidR="008F5223">
              <w:rPr>
                <w:rFonts w:ascii="Arial" w:hAnsi="Arial" w:cs="Arial"/>
              </w:rPr>
              <w:t>tasks that are more discrete, limited in scope and commonly occurring (such as making diary entries) may benefit from having more than one example to cover different contexts (e.g. internal/external meetings, reminders, recurring entr</w:t>
            </w:r>
            <w:r w:rsidR="00383E96">
              <w:rPr>
                <w:rFonts w:ascii="Arial" w:hAnsi="Arial" w:cs="Arial"/>
              </w:rPr>
              <w:t>ies, confidential entries etc.)</w:t>
            </w:r>
            <w:r w:rsidR="002B4D94">
              <w:rPr>
                <w:rFonts w:ascii="Arial" w:hAnsi="Arial" w:cs="Arial"/>
              </w:rPr>
              <w:t>.</w:t>
            </w:r>
            <w:r w:rsidR="004851E8">
              <w:rPr>
                <w:rFonts w:ascii="Arial" w:hAnsi="Arial" w:cs="Arial"/>
              </w:rPr>
              <w:t xml:space="preserve"> </w:t>
            </w:r>
            <w:r w:rsidR="00383E96">
              <w:rPr>
                <w:rFonts w:ascii="Arial" w:hAnsi="Arial" w:cs="Arial"/>
              </w:rPr>
              <w:t xml:space="preserve">If more than one </w:t>
            </w:r>
            <w:r w:rsidR="004851E8">
              <w:rPr>
                <w:rFonts w:ascii="Arial" w:hAnsi="Arial" w:cs="Arial"/>
              </w:rPr>
              <w:t>example</w:t>
            </w:r>
            <w:r w:rsidR="00383E96">
              <w:rPr>
                <w:rFonts w:ascii="Arial" w:hAnsi="Arial" w:cs="Arial"/>
              </w:rPr>
              <w:t xml:space="preserve"> is used, each</w:t>
            </w:r>
            <w:r w:rsidR="004851E8">
              <w:rPr>
                <w:rFonts w:ascii="Arial" w:hAnsi="Arial" w:cs="Arial"/>
              </w:rPr>
              <w:t xml:space="preserve"> should add value in some way that </w:t>
            </w:r>
            <w:r w:rsidR="00383E96">
              <w:rPr>
                <w:rFonts w:ascii="Arial" w:hAnsi="Arial" w:cs="Arial"/>
              </w:rPr>
              <w:t>previous ones</w:t>
            </w:r>
            <w:r w:rsidR="004851E8">
              <w:rPr>
                <w:rFonts w:ascii="Arial" w:hAnsi="Arial" w:cs="Arial"/>
              </w:rPr>
              <w:t xml:space="preserve"> do not.</w:t>
            </w:r>
          </w:p>
          <w:p w:rsidR="0014430F" w:rsidRDefault="00383E96" w:rsidP="008655F5">
            <w:pPr>
              <w:pStyle w:val="ListParagraph"/>
              <w:ind w:left="0"/>
              <w:rPr>
                <w:rFonts w:ascii="Arial" w:hAnsi="Arial" w:cs="Arial"/>
              </w:rPr>
            </w:pPr>
            <w:r>
              <w:rPr>
                <w:rFonts w:ascii="Arial" w:hAnsi="Arial" w:cs="Arial"/>
              </w:rPr>
              <w:t xml:space="preserve">If in doubt, </w:t>
            </w:r>
            <w:r w:rsidR="008F5223">
              <w:rPr>
                <w:rFonts w:ascii="Arial" w:hAnsi="Arial" w:cs="Arial"/>
              </w:rPr>
              <w:t>t</w:t>
            </w:r>
            <w:r w:rsidR="00822699">
              <w:rPr>
                <w:rFonts w:ascii="Arial" w:hAnsi="Arial" w:cs="Arial"/>
              </w:rPr>
              <w:t xml:space="preserve">he question the assessor should ask is – “Am I confident that the candidate is competent, and what </w:t>
            </w:r>
            <w:r w:rsidR="00217391">
              <w:rPr>
                <w:rFonts w:ascii="Arial" w:hAnsi="Arial" w:cs="Arial"/>
              </w:rPr>
              <w:t xml:space="preserve">additional </w:t>
            </w:r>
            <w:r w:rsidR="00634F0D">
              <w:rPr>
                <w:rFonts w:ascii="Arial" w:hAnsi="Arial" w:cs="Arial"/>
              </w:rPr>
              <w:t>value</w:t>
            </w:r>
            <w:r w:rsidR="00217391">
              <w:rPr>
                <w:rFonts w:ascii="Arial" w:hAnsi="Arial" w:cs="Arial"/>
              </w:rPr>
              <w:t xml:space="preserve"> </w:t>
            </w:r>
            <w:r w:rsidR="00822699">
              <w:rPr>
                <w:rFonts w:ascii="Arial" w:hAnsi="Arial" w:cs="Arial"/>
              </w:rPr>
              <w:t xml:space="preserve">could be gained from asking the </w:t>
            </w:r>
            <w:r w:rsidR="000C36DC">
              <w:rPr>
                <w:rFonts w:ascii="Arial" w:hAnsi="Arial" w:cs="Arial"/>
              </w:rPr>
              <w:t>candidate to repeat the task?”</w:t>
            </w:r>
            <w:r w:rsidR="00217391">
              <w:rPr>
                <w:rFonts w:ascii="Arial" w:hAnsi="Arial" w:cs="Arial"/>
              </w:rPr>
              <w:t xml:space="preserve"> </w:t>
            </w:r>
            <w:r w:rsidR="00822699">
              <w:rPr>
                <w:rFonts w:ascii="Arial" w:hAnsi="Arial" w:cs="Arial"/>
              </w:rPr>
              <w:t xml:space="preserve">If the answer is </w:t>
            </w:r>
            <w:r w:rsidR="004000B6">
              <w:rPr>
                <w:rFonts w:ascii="Arial" w:hAnsi="Arial" w:cs="Arial"/>
              </w:rPr>
              <w:t>“</w:t>
            </w:r>
            <w:r w:rsidR="00822699">
              <w:rPr>
                <w:rFonts w:ascii="Arial" w:hAnsi="Arial" w:cs="Arial"/>
              </w:rPr>
              <w:t>yes</w:t>
            </w:r>
            <w:r w:rsidR="004000B6">
              <w:rPr>
                <w:rFonts w:ascii="Arial" w:hAnsi="Arial" w:cs="Arial"/>
              </w:rPr>
              <w:t>”</w:t>
            </w:r>
            <w:r w:rsidR="00822699">
              <w:rPr>
                <w:rFonts w:ascii="Arial" w:hAnsi="Arial" w:cs="Arial"/>
              </w:rPr>
              <w:t xml:space="preserve"> and there is </w:t>
            </w:r>
            <w:r w:rsidR="00797E78">
              <w:rPr>
                <w:rFonts w:ascii="Arial" w:hAnsi="Arial" w:cs="Arial"/>
              </w:rPr>
              <w:t>little</w:t>
            </w:r>
            <w:r w:rsidR="00822699">
              <w:rPr>
                <w:rFonts w:ascii="Arial" w:hAnsi="Arial" w:cs="Arial"/>
              </w:rPr>
              <w:t xml:space="preserve"> to be gained </w:t>
            </w:r>
            <w:r w:rsidR="00217391">
              <w:rPr>
                <w:rFonts w:ascii="Arial" w:hAnsi="Arial" w:cs="Arial"/>
              </w:rPr>
              <w:t>th</w:t>
            </w:r>
            <w:r w:rsidR="004000B6">
              <w:rPr>
                <w:rFonts w:ascii="Arial" w:hAnsi="Arial" w:cs="Arial"/>
              </w:rPr>
              <w:t xml:space="preserve">at hasn’t already been evidenced, </w:t>
            </w:r>
            <w:r w:rsidR="00217391">
              <w:rPr>
                <w:rFonts w:ascii="Arial" w:hAnsi="Arial" w:cs="Arial"/>
              </w:rPr>
              <w:t xml:space="preserve">then asking the candidate </w:t>
            </w:r>
            <w:r w:rsidR="00634F0D">
              <w:rPr>
                <w:rFonts w:ascii="Arial" w:hAnsi="Arial" w:cs="Arial"/>
              </w:rPr>
              <w:t xml:space="preserve">to </w:t>
            </w:r>
            <w:r>
              <w:rPr>
                <w:rFonts w:ascii="Arial" w:hAnsi="Arial" w:cs="Arial"/>
              </w:rPr>
              <w:t>generate more evidence</w:t>
            </w:r>
            <w:r w:rsidR="00974367">
              <w:rPr>
                <w:rFonts w:ascii="Arial" w:hAnsi="Arial" w:cs="Arial"/>
              </w:rPr>
              <w:t xml:space="preserve"> for the same PI/K</w:t>
            </w:r>
            <w:r w:rsidR="004000B6">
              <w:rPr>
                <w:rFonts w:ascii="Arial" w:hAnsi="Arial" w:cs="Arial"/>
              </w:rPr>
              <w:t xml:space="preserve"> is likely to be over-assessment.</w:t>
            </w:r>
          </w:p>
          <w:p w:rsidR="00173833" w:rsidRPr="00173833" w:rsidRDefault="00173833" w:rsidP="00EB7494">
            <w:pPr>
              <w:pStyle w:val="ListParagraph"/>
              <w:ind w:left="0"/>
              <w:rPr>
                <w:rFonts w:ascii="Arial" w:hAnsi="Arial" w:cs="Arial"/>
              </w:rPr>
            </w:pPr>
            <w:r>
              <w:rPr>
                <w:rFonts w:ascii="Arial" w:hAnsi="Arial" w:cs="Arial"/>
              </w:rPr>
              <w:t>Candidates</w:t>
            </w:r>
            <w:r w:rsidRPr="001C3371">
              <w:rPr>
                <w:rFonts w:ascii="Arial" w:hAnsi="Arial" w:cs="Arial"/>
              </w:rPr>
              <w:t xml:space="preserve"> will </w:t>
            </w:r>
            <w:r w:rsidR="004000B6">
              <w:rPr>
                <w:rFonts w:ascii="Arial" w:hAnsi="Arial" w:cs="Arial"/>
              </w:rPr>
              <w:t>generate</w:t>
            </w:r>
            <w:r w:rsidRPr="001C3371">
              <w:rPr>
                <w:rFonts w:ascii="Arial" w:hAnsi="Arial" w:cs="Arial"/>
              </w:rPr>
              <w:t xml:space="preserve"> evidence </w:t>
            </w:r>
            <w:r w:rsidR="004000B6">
              <w:rPr>
                <w:rFonts w:ascii="Arial" w:hAnsi="Arial" w:cs="Arial"/>
              </w:rPr>
              <w:t xml:space="preserve">for units </w:t>
            </w:r>
            <w:r w:rsidRPr="001C3371">
              <w:rPr>
                <w:rFonts w:ascii="Arial" w:hAnsi="Arial" w:cs="Arial"/>
              </w:rPr>
              <w:t>o</w:t>
            </w:r>
            <w:r w:rsidR="004000B6">
              <w:rPr>
                <w:rFonts w:ascii="Arial" w:hAnsi="Arial" w:cs="Arial"/>
              </w:rPr>
              <w:t xml:space="preserve">ver a period of </w:t>
            </w:r>
            <w:r w:rsidR="00634F0D">
              <w:rPr>
                <w:rFonts w:ascii="Arial" w:hAnsi="Arial" w:cs="Arial"/>
              </w:rPr>
              <w:t>time</w:t>
            </w:r>
            <w:r>
              <w:rPr>
                <w:rFonts w:ascii="Arial" w:hAnsi="Arial" w:cs="Arial"/>
              </w:rPr>
              <w:t xml:space="preserve">, </w:t>
            </w:r>
            <w:r w:rsidR="00A441D6">
              <w:rPr>
                <w:rFonts w:ascii="Arial" w:hAnsi="Arial" w:cs="Arial"/>
              </w:rPr>
              <w:t>therefore</w:t>
            </w:r>
            <w:r w:rsidR="004000B6">
              <w:rPr>
                <w:rFonts w:ascii="Arial" w:hAnsi="Arial" w:cs="Arial"/>
              </w:rPr>
              <w:t xml:space="preserve"> if assessment is suitably holistic candidates will naturally generate more than one item of evidence for many </w:t>
            </w:r>
            <w:r w:rsidR="00EB7494">
              <w:rPr>
                <w:rFonts w:ascii="Arial" w:hAnsi="Arial" w:cs="Arial"/>
              </w:rPr>
              <w:t>PIs.</w:t>
            </w:r>
            <w:r w:rsidR="004000B6">
              <w:rPr>
                <w:rFonts w:ascii="Arial" w:hAnsi="Arial" w:cs="Arial"/>
              </w:rPr>
              <w:t xml:space="preserve"> </w:t>
            </w:r>
          </w:p>
        </w:tc>
      </w:tr>
      <w:tr w:rsidR="007E0D28" w:rsidTr="007E0D28">
        <w:tc>
          <w:tcPr>
            <w:tcW w:w="10093" w:type="dxa"/>
            <w:shd w:val="clear" w:color="auto" w:fill="D9D9D9" w:themeFill="background1" w:themeFillShade="D9"/>
          </w:tcPr>
          <w:p w:rsidR="007E0D28" w:rsidRPr="00173833" w:rsidRDefault="007E0D28" w:rsidP="002D4900">
            <w:pPr>
              <w:rPr>
                <w:rFonts w:ascii="Arial" w:hAnsi="Arial" w:cs="Arial"/>
                <w:b/>
                <w:bCs/>
              </w:rPr>
            </w:pPr>
            <w:r>
              <w:rPr>
                <w:rFonts w:ascii="Arial" w:hAnsi="Arial" w:cs="Arial"/>
                <w:b/>
                <w:bCs/>
              </w:rPr>
              <w:t>What types of evidence should candidates have against PIs and Knowledge?</w:t>
            </w:r>
          </w:p>
        </w:tc>
      </w:tr>
      <w:tr w:rsidR="007E0D28" w:rsidTr="007E0D28">
        <w:tc>
          <w:tcPr>
            <w:tcW w:w="10093" w:type="dxa"/>
          </w:tcPr>
          <w:p w:rsidR="007E0D28" w:rsidRDefault="002B4D94" w:rsidP="002D4900">
            <w:pPr>
              <w:pStyle w:val="ListParagraph"/>
              <w:ind w:left="0"/>
              <w:rPr>
                <w:rFonts w:ascii="Arial" w:hAnsi="Arial" w:cs="Arial"/>
              </w:rPr>
            </w:pPr>
            <w:r>
              <w:rPr>
                <w:rFonts w:ascii="Arial" w:hAnsi="Arial" w:cs="Arial"/>
                <w:b/>
              </w:rPr>
              <w:br/>
            </w:r>
            <w:r w:rsidR="007E0D28" w:rsidRPr="009C3BF3">
              <w:rPr>
                <w:rFonts w:ascii="Arial" w:hAnsi="Arial" w:cs="Arial"/>
                <w:b/>
              </w:rPr>
              <w:t>PIs</w:t>
            </w:r>
            <w:r w:rsidR="007E0D28" w:rsidRPr="00482EC6">
              <w:rPr>
                <w:rFonts w:ascii="Arial" w:hAnsi="Arial" w:cs="Arial"/>
              </w:rPr>
              <w:t xml:space="preserve"> require </w:t>
            </w:r>
            <w:r w:rsidR="007E0D28" w:rsidRPr="005C5974">
              <w:rPr>
                <w:rFonts w:ascii="Arial" w:hAnsi="Arial" w:cs="Arial"/>
                <w:b/>
              </w:rPr>
              <w:t>performance evidence</w:t>
            </w:r>
            <w:r w:rsidR="007E0D28">
              <w:rPr>
                <w:rFonts w:ascii="Arial" w:hAnsi="Arial" w:cs="Arial"/>
              </w:rPr>
              <w:t xml:space="preserve"> i.e. </w:t>
            </w:r>
            <w:r w:rsidR="00F05A22">
              <w:rPr>
                <w:rFonts w:ascii="Arial" w:hAnsi="Arial" w:cs="Arial"/>
                <w:b/>
              </w:rPr>
              <w:t>W</w:t>
            </w:r>
            <w:r w:rsidR="007E0D28" w:rsidRPr="005C5974">
              <w:rPr>
                <w:rFonts w:ascii="Arial" w:hAnsi="Arial" w:cs="Arial"/>
                <w:b/>
              </w:rPr>
              <w:t xml:space="preserve">ork </w:t>
            </w:r>
            <w:r w:rsidR="00F05A22">
              <w:rPr>
                <w:rFonts w:ascii="Arial" w:hAnsi="Arial" w:cs="Arial"/>
                <w:b/>
              </w:rPr>
              <w:t>P</w:t>
            </w:r>
            <w:r w:rsidR="007E0D28" w:rsidRPr="005C5974">
              <w:rPr>
                <w:rFonts w:ascii="Arial" w:hAnsi="Arial" w:cs="Arial"/>
                <w:b/>
              </w:rPr>
              <w:t>roduct</w:t>
            </w:r>
            <w:r w:rsidR="007E0D28">
              <w:rPr>
                <w:rFonts w:ascii="Arial" w:hAnsi="Arial" w:cs="Arial"/>
              </w:rPr>
              <w:t xml:space="preserve"> and/or </w:t>
            </w:r>
            <w:r w:rsidR="00F05A22">
              <w:rPr>
                <w:rFonts w:ascii="Arial" w:hAnsi="Arial" w:cs="Arial"/>
                <w:b/>
              </w:rPr>
              <w:t>O</w:t>
            </w:r>
            <w:r w:rsidR="007E0D28" w:rsidRPr="005C5974">
              <w:rPr>
                <w:rFonts w:ascii="Arial" w:hAnsi="Arial" w:cs="Arial"/>
                <w:b/>
              </w:rPr>
              <w:t>bservation</w:t>
            </w:r>
            <w:r w:rsidR="007E0D28" w:rsidRPr="00482EC6">
              <w:rPr>
                <w:rFonts w:ascii="Arial" w:hAnsi="Arial" w:cs="Arial"/>
              </w:rPr>
              <w:t xml:space="preserve">. </w:t>
            </w:r>
            <w:r w:rsidR="007E0D28">
              <w:rPr>
                <w:rFonts w:ascii="Arial" w:hAnsi="Arial" w:cs="Arial"/>
                <w:b/>
              </w:rPr>
              <w:t xml:space="preserve">Knowledge </w:t>
            </w:r>
            <w:r w:rsidR="007E0D28">
              <w:rPr>
                <w:rFonts w:ascii="Arial" w:hAnsi="Arial" w:cs="Arial"/>
              </w:rPr>
              <w:t xml:space="preserve">can be demonstrated via many forms of </w:t>
            </w:r>
            <w:r w:rsidR="007E0D28">
              <w:rPr>
                <w:rFonts w:ascii="Arial" w:hAnsi="Arial" w:cs="Arial"/>
                <w:b/>
              </w:rPr>
              <w:t xml:space="preserve">supporting evidence </w:t>
            </w:r>
            <w:r w:rsidR="007E0D28">
              <w:rPr>
                <w:rFonts w:ascii="Arial" w:hAnsi="Arial" w:cs="Arial"/>
              </w:rPr>
              <w:t xml:space="preserve">e.g. </w:t>
            </w:r>
            <w:r w:rsidR="00F05A22">
              <w:rPr>
                <w:rFonts w:ascii="Arial" w:hAnsi="Arial" w:cs="Arial"/>
                <w:b/>
              </w:rPr>
              <w:t>P</w:t>
            </w:r>
            <w:r w:rsidR="007E0D28">
              <w:rPr>
                <w:rFonts w:ascii="Arial" w:hAnsi="Arial" w:cs="Arial"/>
                <w:b/>
              </w:rPr>
              <w:t xml:space="preserve">ersonal </w:t>
            </w:r>
            <w:r w:rsidR="00F05A22">
              <w:rPr>
                <w:rFonts w:ascii="Arial" w:hAnsi="Arial" w:cs="Arial"/>
                <w:b/>
              </w:rPr>
              <w:t>S</w:t>
            </w:r>
            <w:r w:rsidR="007E0D28">
              <w:rPr>
                <w:rFonts w:ascii="Arial" w:hAnsi="Arial" w:cs="Arial"/>
                <w:b/>
              </w:rPr>
              <w:t xml:space="preserve">tatement, </w:t>
            </w:r>
            <w:r w:rsidR="00F05A22">
              <w:rPr>
                <w:rFonts w:ascii="Arial" w:hAnsi="Arial" w:cs="Arial"/>
                <w:b/>
              </w:rPr>
              <w:t>Q</w:t>
            </w:r>
            <w:r w:rsidR="007E0D28">
              <w:rPr>
                <w:rFonts w:ascii="Arial" w:hAnsi="Arial" w:cs="Arial"/>
                <w:b/>
              </w:rPr>
              <w:t xml:space="preserve">uestioning </w:t>
            </w:r>
            <w:r w:rsidR="007E0D28">
              <w:rPr>
                <w:rFonts w:ascii="Arial" w:hAnsi="Arial" w:cs="Arial"/>
              </w:rPr>
              <w:t>(written and/or oral)</w:t>
            </w:r>
            <w:r w:rsidR="007E0D28">
              <w:rPr>
                <w:rFonts w:ascii="Arial" w:hAnsi="Arial" w:cs="Arial"/>
                <w:b/>
              </w:rPr>
              <w:t xml:space="preserve">, </w:t>
            </w:r>
            <w:r w:rsidR="00F05A22">
              <w:rPr>
                <w:rFonts w:ascii="Arial" w:hAnsi="Arial" w:cs="Arial"/>
                <w:b/>
              </w:rPr>
              <w:t>P</w:t>
            </w:r>
            <w:r w:rsidR="007E0D28">
              <w:rPr>
                <w:rFonts w:ascii="Arial" w:hAnsi="Arial" w:cs="Arial"/>
                <w:b/>
              </w:rPr>
              <w:t xml:space="preserve">rofessional </w:t>
            </w:r>
            <w:r w:rsidR="00F05A22">
              <w:rPr>
                <w:rFonts w:ascii="Arial" w:hAnsi="Arial" w:cs="Arial"/>
                <w:b/>
              </w:rPr>
              <w:t>D</w:t>
            </w:r>
            <w:r w:rsidR="007E0D28">
              <w:rPr>
                <w:rFonts w:ascii="Arial" w:hAnsi="Arial" w:cs="Arial"/>
                <w:b/>
              </w:rPr>
              <w:t xml:space="preserve">iscussion </w:t>
            </w:r>
            <w:r w:rsidR="007E0D28" w:rsidRPr="005C5974">
              <w:rPr>
                <w:rFonts w:ascii="Arial" w:hAnsi="Arial" w:cs="Arial"/>
              </w:rPr>
              <w:t>etc.</w:t>
            </w:r>
            <w:r w:rsidR="007E0D28">
              <w:rPr>
                <w:rFonts w:ascii="Arial" w:hAnsi="Arial" w:cs="Arial"/>
                <w:b/>
              </w:rPr>
              <w:t xml:space="preserve"> </w:t>
            </w:r>
            <w:r w:rsidR="007E0D28" w:rsidRPr="005C5974">
              <w:rPr>
                <w:rFonts w:ascii="Arial" w:hAnsi="Arial" w:cs="Arial"/>
              </w:rPr>
              <w:t>Some</w:t>
            </w:r>
            <w:r w:rsidR="007E0D28" w:rsidRPr="00482EC6">
              <w:rPr>
                <w:rFonts w:ascii="Arial" w:hAnsi="Arial" w:cs="Arial"/>
              </w:rPr>
              <w:t xml:space="preserve"> </w:t>
            </w:r>
            <w:r w:rsidR="007E0D28">
              <w:rPr>
                <w:rFonts w:ascii="Arial" w:hAnsi="Arial" w:cs="Arial"/>
              </w:rPr>
              <w:t>Knowledge can be inferred from p</w:t>
            </w:r>
            <w:r w:rsidR="007E0D28" w:rsidRPr="00482EC6">
              <w:rPr>
                <w:rFonts w:ascii="Arial" w:hAnsi="Arial" w:cs="Arial"/>
              </w:rPr>
              <w:t xml:space="preserve">erformance </w:t>
            </w:r>
            <w:r w:rsidR="007E0D28">
              <w:rPr>
                <w:rFonts w:ascii="Arial" w:hAnsi="Arial" w:cs="Arial"/>
              </w:rPr>
              <w:t>e</w:t>
            </w:r>
            <w:r w:rsidR="007E0D28" w:rsidRPr="00482EC6">
              <w:rPr>
                <w:rFonts w:ascii="Arial" w:hAnsi="Arial" w:cs="Arial"/>
              </w:rPr>
              <w:t>vidence where</w:t>
            </w:r>
            <w:r w:rsidR="007E0D28">
              <w:rPr>
                <w:rFonts w:ascii="Arial" w:hAnsi="Arial" w:cs="Arial"/>
              </w:rPr>
              <w:t>,</w:t>
            </w:r>
            <w:r w:rsidR="007E0D28" w:rsidRPr="00482EC6">
              <w:rPr>
                <w:rFonts w:ascii="Arial" w:hAnsi="Arial" w:cs="Arial"/>
              </w:rPr>
              <w:t xml:space="preserve"> in the </w:t>
            </w:r>
            <w:r w:rsidR="007E0D28">
              <w:rPr>
                <w:rFonts w:ascii="Arial" w:hAnsi="Arial" w:cs="Arial"/>
              </w:rPr>
              <w:t>a</w:t>
            </w:r>
            <w:r w:rsidR="007E0D28" w:rsidRPr="00482EC6">
              <w:rPr>
                <w:rFonts w:ascii="Arial" w:hAnsi="Arial" w:cs="Arial"/>
              </w:rPr>
              <w:t>ssessor’s judgement</w:t>
            </w:r>
            <w:r w:rsidR="007E0D28">
              <w:rPr>
                <w:rFonts w:ascii="Arial" w:hAnsi="Arial" w:cs="Arial"/>
              </w:rPr>
              <w:t>,</w:t>
            </w:r>
            <w:r w:rsidR="007E0D28" w:rsidRPr="00482EC6">
              <w:rPr>
                <w:rFonts w:ascii="Arial" w:hAnsi="Arial" w:cs="Arial"/>
              </w:rPr>
              <w:t xml:space="preserve"> it is clear that the candidate has applied the relevant </w:t>
            </w:r>
            <w:r w:rsidR="007E0D28">
              <w:rPr>
                <w:rFonts w:ascii="Arial" w:hAnsi="Arial" w:cs="Arial"/>
              </w:rPr>
              <w:t>k</w:t>
            </w:r>
            <w:r w:rsidR="007E0D28" w:rsidRPr="00482EC6">
              <w:rPr>
                <w:rFonts w:ascii="Arial" w:hAnsi="Arial" w:cs="Arial"/>
              </w:rPr>
              <w:t xml:space="preserve">nowledge to their practice. </w:t>
            </w:r>
          </w:p>
          <w:p w:rsidR="007E0D28" w:rsidRPr="00DF737D" w:rsidRDefault="007E0D28" w:rsidP="00F05A22">
            <w:pPr>
              <w:pStyle w:val="ListParagraph"/>
              <w:ind w:left="0"/>
              <w:rPr>
                <w:rFonts w:ascii="Arial" w:hAnsi="Arial" w:cs="Arial"/>
                <w:bCs/>
              </w:rPr>
            </w:pPr>
            <w:r>
              <w:rPr>
                <w:rFonts w:ascii="Arial" w:hAnsi="Arial" w:cs="Arial"/>
              </w:rPr>
              <w:t>It may be</w:t>
            </w:r>
            <w:r w:rsidRPr="002E76AA">
              <w:rPr>
                <w:rFonts w:ascii="Arial" w:hAnsi="Arial" w:cs="Arial"/>
              </w:rPr>
              <w:t xml:space="preserve"> a good idea for candidates to </w:t>
            </w:r>
            <w:r>
              <w:rPr>
                <w:rFonts w:ascii="Arial" w:hAnsi="Arial" w:cs="Arial"/>
              </w:rPr>
              <w:t xml:space="preserve">start their SVQ by </w:t>
            </w:r>
            <w:r w:rsidRPr="002E76AA">
              <w:rPr>
                <w:rFonts w:ascii="Arial" w:hAnsi="Arial" w:cs="Arial"/>
              </w:rPr>
              <w:t xml:space="preserve">gathering </w:t>
            </w:r>
            <w:r>
              <w:rPr>
                <w:rFonts w:ascii="Arial" w:hAnsi="Arial" w:cs="Arial"/>
              </w:rPr>
              <w:t>p</w:t>
            </w:r>
            <w:r w:rsidRPr="002E76AA">
              <w:rPr>
                <w:rFonts w:ascii="Arial" w:hAnsi="Arial" w:cs="Arial"/>
              </w:rPr>
              <w:t xml:space="preserve">erformance </w:t>
            </w:r>
            <w:r>
              <w:rPr>
                <w:rFonts w:ascii="Arial" w:hAnsi="Arial" w:cs="Arial"/>
              </w:rPr>
              <w:t>e</w:t>
            </w:r>
            <w:r w:rsidR="00F05A22">
              <w:rPr>
                <w:rFonts w:ascii="Arial" w:hAnsi="Arial" w:cs="Arial"/>
              </w:rPr>
              <w:t xml:space="preserve">vidence, </w:t>
            </w:r>
            <w:r w:rsidRPr="002E76AA">
              <w:rPr>
                <w:rFonts w:ascii="Arial" w:hAnsi="Arial" w:cs="Arial"/>
              </w:rPr>
              <w:t xml:space="preserve">as </w:t>
            </w:r>
            <w:r>
              <w:rPr>
                <w:rFonts w:ascii="Arial" w:hAnsi="Arial" w:cs="Arial"/>
              </w:rPr>
              <w:t>some</w:t>
            </w:r>
            <w:r w:rsidRPr="002E76AA">
              <w:rPr>
                <w:rFonts w:ascii="Arial" w:hAnsi="Arial" w:cs="Arial"/>
              </w:rPr>
              <w:t xml:space="preserve"> of the Knowledge can be covered </w:t>
            </w:r>
            <w:r>
              <w:rPr>
                <w:rFonts w:ascii="Arial" w:hAnsi="Arial" w:cs="Arial"/>
              </w:rPr>
              <w:t>via</w:t>
            </w:r>
            <w:r w:rsidRPr="002E76AA">
              <w:rPr>
                <w:rFonts w:ascii="Arial" w:hAnsi="Arial" w:cs="Arial"/>
              </w:rPr>
              <w:t xml:space="preserve"> </w:t>
            </w:r>
            <w:r>
              <w:rPr>
                <w:rFonts w:ascii="Arial" w:hAnsi="Arial" w:cs="Arial"/>
              </w:rPr>
              <w:t xml:space="preserve">performance. This means that questioning/personal statement </w:t>
            </w:r>
            <w:r w:rsidRPr="002E76AA">
              <w:rPr>
                <w:rFonts w:ascii="Arial" w:hAnsi="Arial" w:cs="Arial"/>
              </w:rPr>
              <w:t xml:space="preserve">etc. can be targeted at the remaining Knowledge </w:t>
            </w:r>
            <w:r>
              <w:rPr>
                <w:rFonts w:ascii="Arial" w:hAnsi="Arial" w:cs="Arial"/>
              </w:rPr>
              <w:t xml:space="preserve">gaps, </w:t>
            </w:r>
            <w:r w:rsidRPr="002E76AA">
              <w:rPr>
                <w:rFonts w:ascii="Arial" w:hAnsi="Arial" w:cs="Arial"/>
              </w:rPr>
              <w:t>preventing duplication</w:t>
            </w:r>
            <w:r>
              <w:rPr>
                <w:rFonts w:ascii="Arial" w:hAnsi="Arial" w:cs="Arial"/>
              </w:rPr>
              <w:t xml:space="preserve"> and over-assessment</w:t>
            </w:r>
            <w:r w:rsidRPr="002E76AA">
              <w:rPr>
                <w:rFonts w:ascii="Arial" w:hAnsi="Arial" w:cs="Arial"/>
              </w:rPr>
              <w:t>.</w:t>
            </w:r>
            <w:r w:rsidRPr="002E76AA">
              <w:rPr>
                <w:rFonts w:ascii="Arial" w:hAnsi="Arial" w:cs="Arial"/>
                <w:b/>
                <w:bCs/>
              </w:rPr>
              <w:t xml:space="preserve"> </w:t>
            </w:r>
            <w:r>
              <w:rPr>
                <w:rFonts w:ascii="Arial" w:hAnsi="Arial" w:cs="Arial"/>
                <w:bCs/>
              </w:rPr>
              <w:t xml:space="preserve">However, many centres prefer to ask candidates to begin with a personal statement to help the candidate </w:t>
            </w:r>
            <w:r w:rsidRPr="00285A6F">
              <w:rPr>
                <w:rFonts w:ascii="Arial" w:hAnsi="Arial" w:cs="Arial"/>
                <w:b/>
                <w:bCs/>
              </w:rPr>
              <w:t>reflect</w:t>
            </w:r>
            <w:r>
              <w:rPr>
                <w:rFonts w:ascii="Arial" w:hAnsi="Arial" w:cs="Arial"/>
                <w:bCs/>
              </w:rPr>
              <w:t xml:space="preserve"> on their </w:t>
            </w:r>
            <w:r w:rsidRPr="00285A6F">
              <w:rPr>
                <w:rFonts w:ascii="Arial" w:hAnsi="Arial" w:cs="Arial"/>
                <w:b/>
                <w:bCs/>
              </w:rPr>
              <w:t>job role</w:t>
            </w:r>
            <w:r>
              <w:rPr>
                <w:rFonts w:ascii="Arial" w:hAnsi="Arial" w:cs="Arial"/>
                <w:bCs/>
              </w:rPr>
              <w:t xml:space="preserve">, give the assessor insight into </w:t>
            </w:r>
            <w:r w:rsidR="00F05A22">
              <w:rPr>
                <w:rFonts w:ascii="Arial" w:hAnsi="Arial" w:cs="Arial"/>
                <w:bCs/>
              </w:rPr>
              <w:t>what they do</w:t>
            </w:r>
            <w:r>
              <w:rPr>
                <w:rFonts w:ascii="Arial" w:hAnsi="Arial" w:cs="Arial"/>
                <w:bCs/>
              </w:rPr>
              <w:t xml:space="preserve"> and generally help the candidate settle into and familiarise themselves with the process of SVQ </w:t>
            </w:r>
            <w:r w:rsidRPr="00285A6F">
              <w:rPr>
                <w:rFonts w:ascii="Arial" w:hAnsi="Arial" w:cs="Arial"/>
                <w:b/>
                <w:bCs/>
              </w:rPr>
              <w:t>assessment</w:t>
            </w:r>
            <w:r>
              <w:rPr>
                <w:rFonts w:ascii="Arial" w:hAnsi="Arial" w:cs="Arial"/>
                <w:bCs/>
              </w:rPr>
              <w:t>. There is no one correct method, the best approach will vary between candidates.</w:t>
            </w:r>
          </w:p>
        </w:tc>
      </w:tr>
    </w:tbl>
    <w:p w:rsidR="00F35701" w:rsidRDefault="00F35701" w:rsidP="002B4D94">
      <w:pPr>
        <w:spacing w:after="0" w:line="240" w:lineRule="auto"/>
        <w:rPr>
          <w:rFonts w:ascii="Arial" w:hAnsi="Arial" w:cs="Arial"/>
          <w:b/>
          <w:bCs/>
        </w:rPr>
      </w:pPr>
    </w:p>
    <w:tbl>
      <w:tblPr>
        <w:tblStyle w:val="TableGrid"/>
        <w:tblW w:w="10099" w:type="dxa"/>
        <w:tblInd w:w="-459" w:type="dxa"/>
        <w:tblLook w:val="04A0" w:firstRow="1" w:lastRow="0" w:firstColumn="1" w:lastColumn="0" w:noHBand="0" w:noVBand="1"/>
      </w:tblPr>
      <w:tblGrid>
        <w:gridCol w:w="10099"/>
      </w:tblGrid>
      <w:tr w:rsidR="00F35701" w:rsidTr="007E0D28">
        <w:tc>
          <w:tcPr>
            <w:tcW w:w="10099" w:type="dxa"/>
            <w:shd w:val="clear" w:color="auto" w:fill="D9D9D9" w:themeFill="background1" w:themeFillShade="D9"/>
          </w:tcPr>
          <w:p w:rsidR="00F35701" w:rsidRPr="00173833" w:rsidRDefault="00F35701" w:rsidP="002D4900">
            <w:pPr>
              <w:rPr>
                <w:rFonts w:ascii="Arial" w:hAnsi="Arial" w:cs="Arial"/>
                <w:b/>
                <w:bCs/>
              </w:rPr>
            </w:pPr>
            <w:r>
              <w:rPr>
                <w:rFonts w:ascii="Arial" w:hAnsi="Arial" w:cs="Arial"/>
                <w:b/>
                <w:bCs/>
              </w:rPr>
              <w:lastRenderedPageBreak/>
              <w:t>Some PIs can be difficult to cover by Performance Evidence – can Supporting Evidence and/or Simulation to cover these?</w:t>
            </w:r>
          </w:p>
        </w:tc>
      </w:tr>
      <w:tr w:rsidR="00F35701" w:rsidTr="007E0D28">
        <w:tc>
          <w:tcPr>
            <w:tcW w:w="10099" w:type="dxa"/>
          </w:tcPr>
          <w:p w:rsidR="00F35701" w:rsidRDefault="00F35701" w:rsidP="002D4900">
            <w:pPr>
              <w:pStyle w:val="ListParagraph"/>
              <w:ind w:left="0"/>
              <w:rPr>
                <w:rFonts w:ascii="Arial" w:hAnsi="Arial" w:cs="Arial"/>
              </w:rPr>
            </w:pPr>
            <w:r>
              <w:rPr>
                <w:rFonts w:ascii="Arial" w:hAnsi="Arial" w:cs="Arial"/>
                <w:b/>
              </w:rPr>
              <w:br/>
            </w:r>
            <w:r w:rsidRPr="00482EC6">
              <w:rPr>
                <w:rFonts w:ascii="Arial" w:hAnsi="Arial" w:cs="Arial"/>
              </w:rPr>
              <w:t xml:space="preserve">Where </w:t>
            </w:r>
            <w:r w:rsidRPr="00285A6F">
              <w:rPr>
                <w:rFonts w:ascii="Arial" w:hAnsi="Arial" w:cs="Arial"/>
                <w:b/>
              </w:rPr>
              <w:t>performance evidence</w:t>
            </w:r>
            <w:r w:rsidRPr="00482EC6">
              <w:rPr>
                <w:rFonts w:ascii="Arial" w:hAnsi="Arial" w:cs="Arial"/>
              </w:rPr>
              <w:t xml:space="preserve"> does not occur naturally</w:t>
            </w:r>
            <w:r>
              <w:rPr>
                <w:rFonts w:ascii="Arial" w:hAnsi="Arial" w:cs="Arial"/>
              </w:rPr>
              <w:t xml:space="preserve"> for certain PIs,</w:t>
            </w:r>
            <w:r w:rsidRPr="00482EC6">
              <w:rPr>
                <w:rFonts w:ascii="Arial" w:hAnsi="Arial" w:cs="Arial"/>
              </w:rPr>
              <w:t xml:space="preserve"> </w:t>
            </w:r>
            <w:r>
              <w:rPr>
                <w:rFonts w:ascii="Arial" w:hAnsi="Arial" w:cs="Arial"/>
              </w:rPr>
              <w:t xml:space="preserve">the use of </w:t>
            </w:r>
            <w:r w:rsidRPr="00285A6F">
              <w:rPr>
                <w:rFonts w:ascii="Arial" w:hAnsi="Arial" w:cs="Arial"/>
                <w:b/>
              </w:rPr>
              <w:t>supporting evidence</w:t>
            </w:r>
            <w:r>
              <w:rPr>
                <w:rFonts w:ascii="Arial" w:hAnsi="Arial" w:cs="Arial"/>
              </w:rPr>
              <w:t xml:space="preserve"> may be acceptable. This should only be used for a minority of PIs across the Unit, where naturally occurring Performance Evidence can be difficult to generate (e.g. problems with Office Equipment), but overall the Unit matches the candidate’s </w:t>
            </w:r>
            <w:r w:rsidRPr="00285A6F">
              <w:rPr>
                <w:rFonts w:ascii="Arial" w:hAnsi="Arial" w:cs="Arial"/>
                <w:b/>
              </w:rPr>
              <w:t>job role</w:t>
            </w:r>
            <w:r>
              <w:rPr>
                <w:rFonts w:ascii="Arial" w:hAnsi="Arial" w:cs="Arial"/>
              </w:rPr>
              <w:t>. If a candidate has difficulty generating performance evidence for more than a few PIs it is likely the Unit is not suitable. This is not an exact science as PIs vary in size and scope. Due to this t</w:t>
            </w:r>
            <w:r w:rsidRPr="002E76AA">
              <w:rPr>
                <w:rFonts w:ascii="Arial" w:hAnsi="Arial" w:cs="Arial"/>
              </w:rPr>
              <w:t xml:space="preserve">here is no specific </w:t>
            </w:r>
            <w:r>
              <w:rPr>
                <w:rFonts w:ascii="Arial" w:hAnsi="Arial" w:cs="Arial"/>
              </w:rPr>
              <w:t>quantity</w:t>
            </w:r>
            <w:r w:rsidRPr="002E76AA">
              <w:rPr>
                <w:rFonts w:ascii="Arial" w:hAnsi="Arial" w:cs="Arial"/>
              </w:rPr>
              <w:t xml:space="preserve"> attached to the amount of </w:t>
            </w:r>
            <w:r>
              <w:rPr>
                <w:rFonts w:ascii="Arial" w:hAnsi="Arial" w:cs="Arial"/>
              </w:rPr>
              <w:t>supporting evidence/simulation</w:t>
            </w:r>
            <w:r w:rsidRPr="002E76AA">
              <w:rPr>
                <w:rFonts w:ascii="Arial" w:hAnsi="Arial" w:cs="Arial"/>
              </w:rPr>
              <w:t xml:space="preserve"> that can be used for </w:t>
            </w:r>
            <w:r>
              <w:rPr>
                <w:rFonts w:ascii="Arial" w:hAnsi="Arial" w:cs="Arial"/>
              </w:rPr>
              <w:t>PIs.</w:t>
            </w:r>
          </w:p>
          <w:p w:rsidR="00F35701" w:rsidRDefault="00F35701" w:rsidP="002D4900">
            <w:pPr>
              <w:pStyle w:val="ListParagraph"/>
              <w:ind w:left="0"/>
              <w:rPr>
                <w:rFonts w:ascii="Arial" w:hAnsi="Arial" w:cs="Arial"/>
              </w:rPr>
            </w:pPr>
            <w:r>
              <w:rPr>
                <w:rFonts w:ascii="Arial" w:hAnsi="Arial" w:cs="Arial"/>
              </w:rPr>
              <w:t xml:space="preserve">Pre-2011, </w:t>
            </w:r>
            <w:r w:rsidR="00A1688B" w:rsidRPr="00A1688B">
              <w:rPr>
                <w:rFonts w:ascii="Arial" w:hAnsi="Arial" w:cs="Arial"/>
                <w:b/>
              </w:rPr>
              <w:t>C</w:t>
            </w:r>
            <w:r w:rsidRPr="00A1688B">
              <w:rPr>
                <w:rFonts w:ascii="Arial" w:hAnsi="Arial" w:cs="Arial"/>
                <w:b/>
              </w:rPr>
              <w:t>ontingencies</w:t>
            </w:r>
            <w:r>
              <w:rPr>
                <w:rFonts w:ascii="Arial" w:hAnsi="Arial" w:cs="Arial"/>
              </w:rPr>
              <w:t xml:space="preserve"> were identified as the only P</w:t>
            </w:r>
            <w:r w:rsidR="00B9636A">
              <w:rPr>
                <w:rFonts w:ascii="Arial" w:hAnsi="Arial" w:cs="Arial"/>
              </w:rPr>
              <w:t>Is which could be simulated. This</w:t>
            </w:r>
            <w:r>
              <w:rPr>
                <w:rFonts w:ascii="Arial" w:hAnsi="Arial" w:cs="Arial"/>
              </w:rPr>
              <w:t xml:space="preserve"> created problems because it meant that by default all other PIs could not be simulated and it was not possible to foresee every circumstance in which it may be legitimate to use other forms of evidence. This meant that some candidates were unable to achieve Units because </w:t>
            </w:r>
            <w:r w:rsidR="00A1688B">
              <w:rPr>
                <w:rFonts w:ascii="Arial" w:hAnsi="Arial" w:cs="Arial"/>
              </w:rPr>
              <w:t>p</w:t>
            </w:r>
            <w:r>
              <w:rPr>
                <w:rFonts w:ascii="Arial" w:hAnsi="Arial" w:cs="Arial"/>
              </w:rPr>
              <w:t xml:space="preserve">erformance </w:t>
            </w:r>
            <w:r w:rsidR="00A1688B">
              <w:rPr>
                <w:rFonts w:ascii="Arial" w:hAnsi="Arial" w:cs="Arial"/>
              </w:rPr>
              <w:t>e</w:t>
            </w:r>
            <w:r>
              <w:rPr>
                <w:rFonts w:ascii="Arial" w:hAnsi="Arial" w:cs="Arial"/>
              </w:rPr>
              <w:t>vidence was not naturally occurring for one or two PIs.</w:t>
            </w:r>
          </w:p>
          <w:p w:rsidR="00F35701" w:rsidRPr="00C563CD" w:rsidRDefault="00F35701" w:rsidP="002D4900">
            <w:pPr>
              <w:pStyle w:val="ListParagraph"/>
              <w:ind w:left="0"/>
              <w:rPr>
                <w:rFonts w:ascii="Arial" w:hAnsi="Arial" w:cs="Arial"/>
              </w:rPr>
            </w:pPr>
            <w:r>
              <w:rPr>
                <w:rFonts w:ascii="Arial" w:hAnsi="Arial" w:cs="Arial"/>
              </w:rPr>
              <w:t xml:space="preserve">The </w:t>
            </w:r>
            <w:r w:rsidRPr="00B61407">
              <w:rPr>
                <w:rFonts w:ascii="Arial" w:hAnsi="Arial" w:cs="Arial"/>
                <w:b/>
              </w:rPr>
              <w:t>Assessment Strategy</w:t>
            </w:r>
            <w:r>
              <w:rPr>
                <w:rFonts w:ascii="Arial" w:hAnsi="Arial" w:cs="Arial"/>
              </w:rPr>
              <w:t xml:space="preserve"> states that supporting evidence/simulation should only be used for PIs to plug small gaps where performance evidence is not naturally occurring.</w:t>
            </w:r>
          </w:p>
        </w:tc>
      </w:tr>
      <w:tr w:rsidR="007E0D28" w:rsidTr="007E0D28">
        <w:tc>
          <w:tcPr>
            <w:tcW w:w="10099" w:type="dxa"/>
            <w:shd w:val="clear" w:color="auto" w:fill="D9D9D9" w:themeFill="background1" w:themeFillShade="D9"/>
          </w:tcPr>
          <w:p w:rsidR="007E0D28" w:rsidRPr="00173833" w:rsidRDefault="007E0D28" w:rsidP="002D4900">
            <w:pPr>
              <w:rPr>
                <w:rFonts w:ascii="Arial" w:hAnsi="Arial" w:cs="Arial"/>
                <w:b/>
                <w:bCs/>
              </w:rPr>
            </w:pPr>
            <w:r>
              <w:rPr>
                <w:rFonts w:ascii="Arial" w:hAnsi="Arial" w:cs="Arial"/>
                <w:b/>
                <w:bCs/>
              </w:rPr>
              <w:t>What is meant by triangulation of evidence and why is it important?</w:t>
            </w:r>
          </w:p>
        </w:tc>
      </w:tr>
      <w:tr w:rsidR="007E0D28" w:rsidTr="007E0D28">
        <w:tc>
          <w:tcPr>
            <w:tcW w:w="10099" w:type="dxa"/>
          </w:tcPr>
          <w:p w:rsidR="007E0D28" w:rsidRPr="00FA0DC1" w:rsidRDefault="007E0D28" w:rsidP="002D4900">
            <w:pPr>
              <w:rPr>
                <w:rFonts w:ascii="Arial" w:hAnsi="Arial" w:cs="Arial"/>
                <w:b/>
              </w:rPr>
            </w:pPr>
            <w:r>
              <w:rPr>
                <w:rFonts w:ascii="Arial" w:hAnsi="Arial" w:cs="Arial"/>
                <w:color w:val="000000" w:themeColor="text1"/>
              </w:rPr>
              <w:br/>
            </w:r>
            <w:r w:rsidRPr="00CC59C5">
              <w:rPr>
                <w:rFonts w:ascii="Arial" w:hAnsi="Arial" w:cs="Arial"/>
                <w:b/>
                <w:color w:val="000000" w:themeColor="text1"/>
              </w:rPr>
              <w:t>Triangulation</w:t>
            </w:r>
            <w:r w:rsidRPr="001748C6">
              <w:rPr>
                <w:rFonts w:ascii="Arial" w:hAnsi="Arial" w:cs="Arial"/>
                <w:color w:val="000000" w:themeColor="text1"/>
              </w:rPr>
              <w:t xml:space="preserve"> involves using a variety of evidence –</w:t>
            </w:r>
            <w:r w:rsidR="00F05A22">
              <w:rPr>
                <w:rFonts w:ascii="Arial" w:hAnsi="Arial" w:cs="Arial"/>
                <w:color w:val="000000" w:themeColor="text1"/>
              </w:rPr>
              <w:t xml:space="preserve"> </w:t>
            </w:r>
            <w:r w:rsidRPr="001748C6">
              <w:rPr>
                <w:rFonts w:ascii="Arial" w:hAnsi="Arial" w:cs="Arial"/>
                <w:color w:val="000000" w:themeColor="text1"/>
              </w:rPr>
              <w:t xml:space="preserve">performance </w:t>
            </w:r>
            <w:r>
              <w:rPr>
                <w:rFonts w:ascii="Arial" w:hAnsi="Arial" w:cs="Arial"/>
                <w:color w:val="000000" w:themeColor="text1"/>
              </w:rPr>
              <w:t xml:space="preserve">supplemented by </w:t>
            </w:r>
            <w:r w:rsidRPr="001748C6">
              <w:rPr>
                <w:rFonts w:ascii="Arial" w:hAnsi="Arial" w:cs="Arial"/>
                <w:color w:val="000000" w:themeColor="text1"/>
              </w:rPr>
              <w:t>supporting evidence – to demonstra</w:t>
            </w:r>
            <w:r>
              <w:rPr>
                <w:rFonts w:ascii="Arial" w:hAnsi="Arial" w:cs="Arial"/>
                <w:color w:val="000000" w:themeColor="text1"/>
              </w:rPr>
              <w:t xml:space="preserve">te competence, for example an </w:t>
            </w:r>
            <w:r>
              <w:rPr>
                <w:rFonts w:ascii="Arial" w:hAnsi="Arial" w:cs="Arial"/>
                <w:b/>
                <w:color w:val="000000" w:themeColor="text1"/>
              </w:rPr>
              <w:t xml:space="preserve">observation </w:t>
            </w:r>
            <w:r>
              <w:rPr>
                <w:rFonts w:ascii="Arial" w:hAnsi="Arial" w:cs="Arial"/>
                <w:color w:val="000000" w:themeColor="text1"/>
              </w:rPr>
              <w:t xml:space="preserve">combined with </w:t>
            </w:r>
            <w:r>
              <w:rPr>
                <w:rFonts w:ascii="Arial" w:hAnsi="Arial" w:cs="Arial"/>
                <w:b/>
                <w:color w:val="000000" w:themeColor="text1"/>
              </w:rPr>
              <w:t xml:space="preserve">questioning </w:t>
            </w:r>
            <w:r>
              <w:rPr>
                <w:rFonts w:ascii="Arial" w:hAnsi="Arial" w:cs="Arial"/>
                <w:color w:val="000000" w:themeColor="text1"/>
              </w:rPr>
              <w:t xml:space="preserve">and a </w:t>
            </w:r>
            <w:r>
              <w:rPr>
                <w:rFonts w:ascii="Arial" w:hAnsi="Arial" w:cs="Arial"/>
                <w:b/>
                <w:color w:val="000000" w:themeColor="text1"/>
              </w:rPr>
              <w:t>personal statement</w:t>
            </w:r>
            <w:r>
              <w:rPr>
                <w:rFonts w:ascii="Arial" w:hAnsi="Arial" w:cs="Arial"/>
                <w:color w:val="000000" w:themeColor="text1"/>
              </w:rPr>
              <w:t>.</w:t>
            </w:r>
            <w:r w:rsidRPr="001748C6">
              <w:rPr>
                <w:rFonts w:ascii="Arial" w:hAnsi="Arial" w:cs="Arial"/>
                <w:color w:val="000000" w:themeColor="text1"/>
              </w:rPr>
              <w:t xml:space="preserve">  </w:t>
            </w:r>
          </w:p>
          <w:p w:rsidR="007E0D28" w:rsidRDefault="007E0D28" w:rsidP="002D4900">
            <w:pPr>
              <w:rPr>
                <w:rFonts w:ascii="Arial" w:hAnsi="Arial" w:cs="Arial"/>
                <w:color w:val="000000" w:themeColor="text1"/>
              </w:rPr>
            </w:pPr>
            <w:r>
              <w:rPr>
                <w:rFonts w:ascii="Arial" w:hAnsi="Arial" w:cs="Arial"/>
                <w:color w:val="000000" w:themeColor="text1"/>
              </w:rPr>
              <w:t xml:space="preserve">The various items of evidence provide different perspectives that combine to </w:t>
            </w:r>
            <w:r w:rsidRPr="001748C6">
              <w:rPr>
                <w:rFonts w:ascii="Arial" w:hAnsi="Arial" w:cs="Arial"/>
                <w:color w:val="000000" w:themeColor="text1"/>
              </w:rPr>
              <w:t>create an overall picture of competence</w:t>
            </w:r>
            <w:r>
              <w:rPr>
                <w:rFonts w:ascii="Arial" w:hAnsi="Arial" w:cs="Arial"/>
                <w:color w:val="000000" w:themeColor="text1"/>
              </w:rPr>
              <w:t xml:space="preserve"> - for example; </w:t>
            </w:r>
            <w:r w:rsidRPr="00997B04">
              <w:rPr>
                <w:rFonts w:ascii="Arial" w:hAnsi="Arial" w:cs="Arial"/>
                <w:b/>
                <w:color w:val="000000" w:themeColor="text1"/>
              </w:rPr>
              <w:t>observation</w:t>
            </w:r>
            <w:r w:rsidRPr="001748C6">
              <w:rPr>
                <w:rFonts w:ascii="Arial" w:hAnsi="Arial" w:cs="Arial"/>
                <w:color w:val="000000" w:themeColor="text1"/>
              </w:rPr>
              <w:t xml:space="preserve"> (assessor), </w:t>
            </w:r>
            <w:r w:rsidRPr="00997B04">
              <w:rPr>
                <w:rFonts w:ascii="Arial" w:hAnsi="Arial" w:cs="Arial"/>
                <w:b/>
                <w:color w:val="000000" w:themeColor="text1"/>
              </w:rPr>
              <w:t>personal statement</w:t>
            </w:r>
            <w:r w:rsidRPr="001748C6">
              <w:rPr>
                <w:rFonts w:ascii="Arial" w:hAnsi="Arial" w:cs="Arial"/>
                <w:color w:val="000000" w:themeColor="text1"/>
              </w:rPr>
              <w:t xml:space="preserve"> (candidate), </w:t>
            </w:r>
            <w:r w:rsidRPr="00997B04">
              <w:rPr>
                <w:rFonts w:ascii="Arial" w:hAnsi="Arial" w:cs="Arial"/>
                <w:b/>
                <w:color w:val="000000" w:themeColor="text1"/>
              </w:rPr>
              <w:t>witness testimony</w:t>
            </w:r>
            <w:r w:rsidRPr="001748C6">
              <w:rPr>
                <w:rFonts w:ascii="Arial" w:hAnsi="Arial" w:cs="Arial"/>
                <w:color w:val="000000" w:themeColor="text1"/>
              </w:rPr>
              <w:t xml:space="preserve"> (line manager/colleague/customer etc.)</w:t>
            </w:r>
            <w:r>
              <w:rPr>
                <w:rFonts w:ascii="Arial" w:hAnsi="Arial" w:cs="Arial"/>
                <w:color w:val="000000" w:themeColor="text1"/>
              </w:rPr>
              <w:t xml:space="preserve"> and </w:t>
            </w:r>
            <w:r>
              <w:rPr>
                <w:rFonts w:ascii="Arial" w:hAnsi="Arial" w:cs="Arial"/>
                <w:b/>
                <w:color w:val="000000" w:themeColor="text1"/>
              </w:rPr>
              <w:t>professional discussion</w:t>
            </w:r>
            <w:r w:rsidR="000C36DC">
              <w:rPr>
                <w:rFonts w:ascii="Arial" w:hAnsi="Arial" w:cs="Arial"/>
                <w:color w:val="000000" w:themeColor="text1"/>
              </w:rPr>
              <w:t xml:space="preserve"> (assessor and candidate). </w:t>
            </w:r>
            <w:r>
              <w:rPr>
                <w:rFonts w:ascii="Arial" w:hAnsi="Arial" w:cs="Arial"/>
                <w:color w:val="000000" w:themeColor="text1"/>
              </w:rPr>
              <w:t>Triangulation ensures the PIs are covered by performance evidence, and the supporting evidence helps demonstrate that this is the candidate’s consistent standard of performance.</w:t>
            </w:r>
          </w:p>
          <w:p w:rsidR="007E0D28" w:rsidRDefault="007E0D28" w:rsidP="002D4900">
            <w:pPr>
              <w:rPr>
                <w:rFonts w:ascii="Arial" w:hAnsi="Arial" w:cs="Arial"/>
                <w:color w:val="000000" w:themeColor="text1"/>
              </w:rPr>
            </w:pPr>
            <w:r w:rsidRPr="00FD75F7">
              <w:rPr>
                <w:rFonts w:ascii="Arial" w:hAnsi="Arial" w:cs="Arial"/>
                <w:color w:val="000000" w:themeColor="text1"/>
              </w:rPr>
              <w:t xml:space="preserve">Triangulation </w:t>
            </w:r>
            <w:r>
              <w:rPr>
                <w:rFonts w:ascii="Arial" w:hAnsi="Arial" w:cs="Arial"/>
                <w:color w:val="000000" w:themeColor="text1"/>
              </w:rPr>
              <w:t>strengthens</w:t>
            </w:r>
            <w:r w:rsidRPr="00FD75F7">
              <w:rPr>
                <w:rFonts w:ascii="Arial" w:hAnsi="Arial" w:cs="Arial"/>
                <w:color w:val="000000" w:themeColor="text1"/>
              </w:rPr>
              <w:t xml:space="preserve"> authenticity</w:t>
            </w:r>
            <w:r>
              <w:rPr>
                <w:rFonts w:ascii="Arial" w:hAnsi="Arial" w:cs="Arial"/>
                <w:color w:val="000000" w:themeColor="text1"/>
              </w:rPr>
              <w:t xml:space="preserve"> as it places the evidence in context – i.e. how it was generated and for what purpose? Multiple examples of the same </w:t>
            </w:r>
            <w:r w:rsidRPr="003B2409">
              <w:rPr>
                <w:rFonts w:ascii="Arial" w:hAnsi="Arial" w:cs="Arial"/>
                <w:b/>
                <w:color w:val="000000" w:themeColor="text1"/>
              </w:rPr>
              <w:t>work product</w:t>
            </w:r>
            <w:r>
              <w:rPr>
                <w:rFonts w:ascii="Arial" w:hAnsi="Arial" w:cs="Arial"/>
                <w:color w:val="000000" w:themeColor="text1"/>
              </w:rPr>
              <w:t xml:space="preserve"> may not provide this background and – although being potentially important forms of </w:t>
            </w:r>
            <w:r w:rsidRPr="003B2409">
              <w:rPr>
                <w:rFonts w:ascii="Arial" w:hAnsi="Arial" w:cs="Arial"/>
                <w:b/>
                <w:color w:val="000000" w:themeColor="text1"/>
              </w:rPr>
              <w:t>performance evidence</w:t>
            </w:r>
            <w:r>
              <w:rPr>
                <w:rFonts w:ascii="Arial" w:hAnsi="Arial" w:cs="Arial"/>
                <w:color w:val="000000" w:themeColor="text1"/>
              </w:rPr>
              <w:t xml:space="preserve"> - would therefore have a signi</w:t>
            </w:r>
            <w:r w:rsidR="0013239A">
              <w:rPr>
                <w:rFonts w:ascii="Arial" w:hAnsi="Arial" w:cs="Arial"/>
                <w:color w:val="000000" w:themeColor="text1"/>
              </w:rPr>
              <w:t>ficant weakness in this respect</w:t>
            </w:r>
            <w:r>
              <w:rPr>
                <w:rFonts w:ascii="Arial" w:hAnsi="Arial" w:cs="Arial"/>
                <w:color w:val="000000" w:themeColor="text1"/>
              </w:rPr>
              <w:t xml:space="preserve"> if not supported by other forms of evidence.</w:t>
            </w:r>
          </w:p>
          <w:p w:rsidR="007E0D28" w:rsidRDefault="007E0D28" w:rsidP="002D4900">
            <w:pPr>
              <w:rPr>
                <w:rFonts w:ascii="Arial" w:hAnsi="Arial" w:cs="Arial"/>
                <w:color w:val="000000" w:themeColor="text1"/>
              </w:rPr>
            </w:pPr>
            <w:r>
              <w:rPr>
                <w:rFonts w:ascii="Arial" w:hAnsi="Arial" w:cs="Arial"/>
                <w:color w:val="000000" w:themeColor="text1"/>
              </w:rPr>
              <w:t xml:space="preserve">Over a period of time </w:t>
            </w:r>
            <w:r>
              <w:rPr>
                <w:rFonts w:ascii="Arial" w:hAnsi="Arial" w:cs="Arial"/>
                <w:b/>
                <w:color w:val="000000" w:themeColor="text1"/>
              </w:rPr>
              <w:t>triangulation</w:t>
            </w:r>
            <w:r>
              <w:rPr>
                <w:rFonts w:ascii="Arial" w:hAnsi="Arial" w:cs="Arial"/>
                <w:color w:val="000000" w:themeColor="text1"/>
              </w:rPr>
              <w:t xml:space="preserve"> allows the </w:t>
            </w:r>
            <w:r w:rsidRPr="003B2409">
              <w:rPr>
                <w:rFonts w:ascii="Arial" w:hAnsi="Arial" w:cs="Arial"/>
                <w:b/>
                <w:color w:val="000000" w:themeColor="text1"/>
              </w:rPr>
              <w:t>Assessor</w:t>
            </w:r>
            <w:r>
              <w:rPr>
                <w:rFonts w:ascii="Arial" w:hAnsi="Arial" w:cs="Arial"/>
                <w:color w:val="000000" w:themeColor="text1"/>
              </w:rPr>
              <w:t xml:space="preserve">, </w:t>
            </w:r>
            <w:r w:rsidRPr="003B2409">
              <w:rPr>
                <w:rFonts w:ascii="Arial" w:hAnsi="Arial" w:cs="Arial"/>
                <w:b/>
                <w:color w:val="000000" w:themeColor="text1"/>
              </w:rPr>
              <w:t>Internal Verifier</w:t>
            </w:r>
            <w:r>
              <w:rPr>
                <w:rFonts w:ascii="Arial" w:hAnsi="Arial" w:cs="Arial"/>
                <w:b/>
                <w:color w:val="000000" w:themeColor="text1"/>
              </w:rPr>
              <w:t xml:space="preserve"> (IV)</w:t>
            </w:r>
            <w:r>
              <w:rPr>
                <w:rFonts w:ascii="Arial" w:hAnsi="Arial" w:cs="Arial"/>
                <w:color w:val="000000" w:themeColor="text1"/>
              </w:rPr>
              <w:t xml:space="preserve"> and </w:t>
            </w:r>
            <w:r w:rsidRPr="003B2409">
              <w:rPr>
                <w:rFonts w:ascii="Arial" w:hAnsi="Arial" w:cs="Arial"/>
                <w:b/>
                <w:color w:val="000000" w:themeColor="text1"/>
              </w:rPr>
              <w:t>External Verifier</w:t>
            </w:r>
            <w:r>
              <w:rPr>
                <w:rFonts w:ascii="Arial" w:hAnsi="Arial" w:cs="Arial"/>
                <w:b/>
                <w:color w:val="000000" w:themeColor="text1"/>
              </w:rPr>
              <w:t xml:space="preserve"> (EV)</w:t>
            </w:r>
            <w:r>
              <w:rPr>
                <w:rFonts w:ascii="Arial" w:hAnsi="Arial" w:cs="Arial"/>
                <w:color w:val="000000" w:themeColor="text1"/>
              </w:rPr>
              <w:t xml:space="preserve"> to build an overall picture of the candidate’s job role and how they fit within their team/organisation</w:t>
            </w:r>
            <w:r w:rsidR="0013239A">
              <w:rPr>
                <w:rFonts w:ascii="Arial" w:hAnsi="Arial" w:cs="Arial"/>
                <w:color w:val="000000" w:themeColor="text1"/>
              </w:rPr>
              <w:t>. This</w:t>
            </w:r>
            <w:r>
              <w:rPr>
                <w:rFonts w:ascii="Arial" w:hAnsi="Arial" w:cs="Arial"/>
                <w:color w:val="000000" w:themeColor="text1"/>
              </w:rPr>
              <w:t xml:space="preserve"> is valuable for making judgements on evidence and competence. </w:t>
            </w:r>
          </w:p>
          <w:p w:rsidR="007E0D28" w:rsidRPr="00173833" w:rsidRDefault="007E0D28" w:rsidP="002D4900">
            <w:pPr>
              <w:rPr>
                <w:rFonts w:ascii="Arial" w:hAnsi="Arial" w:cs="Arial"/>
                <w:color w:val="000000" w:themeColor="text1"/>
              </w:rPr>
            </w:pPr>
            <w:r w:rsidRPr="001E091F">
              <w:rPr>
                <w:rFonts w:ascii="Arial" w:hAnsi="Arial" w:cs="Arial"/>
                <w:b/>
                <w:color w:val="000000" w:themeColor="text1"/>
              </w:rPr>
              <w:t>Triangulation</w:t>
            </w:r>
            <w:r w:rsidRPr="00FD75F7">
              <w:rPr>
                <w:rFonts w:ascii="Arial" w:hAnsi="Arial" w:cs="Arial"/>
                <w:color w:val="000000" w:themeColor="text1"/>
              </w:rPr>
              <w:t xml:space="preserve"> </w:t>
            </w:r>
            <w:r>
              <w:rPr>
                <w:rFonts w:ascii="Arial" w:hAnsi="Arial" w:cs="Arial"/>
                <w:color w:val="000000" w:themeColor="text1"/>
              </w:rPr>
              <w:t xml:space="preserve">reduces the volume of assessment as it promotes a holistic approach </w:t>
            </w:r>
            <w:r w:rsidRPr="00FD75F7">
              <w:rPr>
                <w:rFonts w:ascii="Arial" w:hAnsi="Arial" w:cs="Arial"/>
                <w:color w:val="000000" w:themeColor="text1"/>
              </w:rPr>
              <w:t xml:space="preserve">and helps prevent the need to repeat tasks for the same PIs </w:t>
            </w:r>
            <w:r>
              <w:rPr>
                <w:rFonts w:ascii="Arial" w:hAnsi="Arial" w:cs="Arial"/>
                <w:color w:val="000000" w:themeColor="text1"/>
              </w:rPr>
              <w:t xml:space="preserve">in order </w:t>
            </w:r>
            <w:r w:rsidRPr="00FD75F7">
              <w:rPr>
                <w:rFonts w:ascii="Arial" w:hAnsi="Arial" w:cs="Arial"/>
                <w:color w:val="000000" w:themeColor="text1"/>
              </w:rPr>
              <w:t xml:space="preserve">to demonstrate competence over time. A holistic approach involves </w:t>
            </w:r>
            <w:r>
              <w:rPr>
                <w:rFonts w:ascii="Arial" w:hAnsi="Arial" w:cs="Arial"/>
                <w:color w:val="000000" w:themeColor="text1"/>
              </w:rPr>
              <w:t>mapping</w:t>
            </w:r>
            <w:r w:rsidRPr="00FD75F7">
              <w:rPr>
                <w:rFonts w:ascii="Arial" w:hAnsi="Arial" w:cs="Arial"/>
                <w:color w:val="000000" w:themeColor="text1"/>
              </w:rPr>
              <w:t xml:space="preserve"> evidence </w:t>
            </w:r>
            <w:r>
              <w:rPr>
                <w:rFonts w:ascii="Arial" w:hAnsi="Arial" w:cs="Arial"/>
                <w:color w:val="000000" w:themeColor="text1"/>
              </w:rPr>
              <w:t>to</w:t>
            </w:r>
            <w:r w:rsidRPr="00FD75F7">
              <w:rPr>
                <w:rFonts w:ascii="Arial" w:hAnsi="Arial" w:cs="Arial"/>
                <w:color w:val="000000" w:themeColor="text1"/>
              </w:rPr>
              <w:t xml:space="preserve"> more than one </w:t>
            </w:r>
            <w:r>
              <w:rPr>
                <w:rFonts w:ascii="Arial" w:hAnsi="Arial" w:cs="Arial"/>
                <w:color w:val="000000" w:themeColor="text1"/>
              </w:rPr>
              <w:t>Unit.</w:t>
            </w:r>
          </w:p>
        </w:tc>
      </w:tr>
    </w:tbl>
    <w:p w:rsidR="00F35701" w:rsidRDefault="00F35701" w:rsidP="00173833">
      <w:pPr>
        <w:rPr>
          <w:rFonts w:ascii="Arial" w:hAnsi="Arial" w:cs="Arial"/>
          <w:b/>
          <w:bCs/>
        </w:rPr>
      </w:pPr>
    </w:p>
    <w:p w:rsidR="00173833" w:rsidRDefault="00CC3F2D" w:rsidP="00173833">
      <w:pPr>
        <w:rPr>
          <w:rFonts w:ascii="Arial" w:hAnsi="Arial" w:cs="Arial"/>
          <w:b/>
          <w:bCs/>
        </w:rPr>
      </w:pPr>
      <w:r>
        <w:rPr>
          <w:rFonts w:ascii="Arial" w:hAnsi="Arial" w:cs="Arial"/>
          <w:b/>
          <w:bCs/>
        </w:rPr>
        <w:br w:type="page"/>
      </w:r>
    </w:p>
    <w:tbl>
      <w:tblPr>
        <w:tblStyle w:val="TableGrid"/>
        <w:tblW w:w="10093" w:type="dxa"/>
        <w:tblInd w:w="-459" w:type="dxa"/>
        <w:tblLook w:val="04A0" w:firstRow="1" w:lastRow="0" w:firstColumn="1" w:lastColumn="0" w:noHBand="0" w:noVBand="1"/>
      </w:tblPr>
      <w:tblGrid>
        <w:gridCol w:w="10093"/>
      </w:tblGrid>
      <w:tr w:rsidR="00F35701" w:rsidTr="007E0D28">
        <w:tc>
          <w:tcPr>
            <w:tcW w:w="10093" w:type="dxa"/>
            <w:shd w:val="clear" w:color="auto" w:fill="D9D9D9" w:themeFill="background1" w:themeFillShade="D9"/>
          </w:tcPr>
          <w:p w:rsidR="00F35701" w:rsidRPr="00173833" w:rsidRDefault="00F35701" w:rsidP="002D4900">
            <w:pPr>
              <w:rPr>
                <w:rFonts w:ascii="Arial" w:hAnsi="Arial" w:cs="Arial"/>
                <w:b/>
                <w:bCs/>
              </w:rPr>
            </w:pPr>
            <w:r>
              <w:rPr>
                <w:rFonts w:ascii="Arial" w:hAnsi="Arial" w:cs="Arial"/>
                <w:b/>
                <w:bCs/>
              </w:rPr>
              <w:lastRenderedPageBreak/>
              <w:t>How should evidence be referenced?</w:t>
            </w:r>
          </w:p>
        </w:tc>
      </w:tr>
      <w:tr w:rsidR="00F35701" w:rsidTr="007E0D28">
        <w:tc>
          <w:tcPr>
            <w:tcW w:w="10093" w:type="dxa"/>
          </w:tcPr>
          <w:p w:rsidR="00F35701" w:rsidRDefault="00F35701" w:rsidP="002D4900">
            <w:pPr>
              <w:pStyle w:val="ListParagraph"/>
              <w:ind w:left="0"/>
              <w:rPr>
                <w:rFonts w:ascii="Arial" w:hAnsi="Arial" w:cs="Arial"/>
                <w:color w:val="FF0000"/>
                <w:sz w:val="2"/>
                <w:szCs w:val="2"/>
              </w:rPr>
            </w:pPr>
          </w:p>
          <w:p w:rsidR="00F35701" w:rsidRDefault="00F35701" w:rsidP="002D4900">
            <w:pPr>
              <w:rPr>
                <w:rFonts w:ascii="Arial" w:hAnsi="Arial" w:cs="Arial"/>
                <w:color w:val="000000" w:themeColor="text1"/>
              </w:rPr>
            </w:pPr>
            <w:r w:rsidRPr="00BC5BEB">
              <w:rPr>
                <w:rFonts w:ascii="Arial" w:hAnsi="Arial" w:cs="Arial"/>
                <w:b/>
                <w:color w:val="000000" w:themeColor="text1"/>
              </w:rPr>
              <w:t>Referencing</w:t>
            </w:r>
            <w:r>
              <w:rPr>
                <w:rFonts w:ascii="Arial" w:hAnsi="Arial" w:cs="Arial"/>
                <w:color w:val="000000" w:themeColor="text1"/>
              </w:rPr>
              <w:t xml:space="preserve"> is a vital element of </w:t>
            </w:r>
            <w:r w:rsidRPr="00BC5BEB">
              <w:rPr>
                <w:rFonts w:ascii="Arial" w:hAnsi="Arial" w:cs="Arial"/>
                <w:b/>
                <w:color w:val="000000" w:themeColor="text1"/>
              </w:rPr>
              <w:t>assessment</w:t>
            </w:r>
            <w:r>
              <w:rPr>
                <w:rFonts w:ascii="Arial" w:hAnsi="Arial" w:cs="Arial"/>
                <w:color w:val="000000" w:themeColor="text1"/>
              </w:rPr>
              <w:t xml:space="preserve"> and </w:t>
            </w:r>
            <w:r w:rsidRPr="00BC5BEB">
              <w:rPr>
                <w:rFonts w:ascii="Arial" w:hAnsi="Arial" w:cs="Arial"/>
                <w:b/>
                <w:color w:val="000000" w:themeColor="text1"/>
              </w:rPr>
              <w:t>quality assurance</w:t>
            </w:r>
            <w:r>
              <w:rPr>
                <w:rFonts w:ascii="Arial" w:hAnsi="Arial" w:cs="Arial"/>
                <w:color w:val="000000" w:themeColor="text1"/>
              </w:rPr>
              <w:t xml:space="preserve"> </w:t>
            </w:r>
            <w:r w:rsidRPr="00BC5BEB">
              <w:rPr>
                <w:rFonts w:ascii="Arial" w:hAnsi="Arial" w:cs="Arial"/>
                <w:b/>
                <w:color w:val="000000" w:themeColor="text1"/>
              </w:rPr>
              <w:t>processes</w:t>
            </w:r>
            <w:r>
              <w:rPr>
                <w:rFonts w:ascii="Arial" w:hAnsi="Arial" w:cs="Arial"/>
                <w:color w:val="000000" w:themeColor="text1"/>
              </w:rPr>
              <w:t xml:space="preserve">. It provides the </w:t>
            </w:r>
            <w:r w:rsidR="0013239A">
              <w:rPr>
                <w:rFonts w:ascii="Arial" w:hAnsi="Arial" w:cs="Arial"/>
                <w:color w:val="000000" w:themeColor="text1"/>
              </w:rPr>
              <w:t>audit trail</w:t>
            </w:r>
            <w:r>
              <w:rPr>
                <w:rFonts w:ascii="Arial" w:hAnsi="Arial" w:cs="Arial"/>
                <w:color w:val="000000" w:themeColor="text1"/>
              </w:rPr>
              <w:t xml:space="preserve"> by which assessors can make </w:t>
            </w:r>
            <w:r w:rsidRPr="00BC5BEB">
              <w:rPr>
                <w:rFonts w:ascii="Arial" w:hAnsi="Arial" w:cs="Arial"/>
                <w:b/>
                <w:color w:val="000000" w:themeColor="text1"/>
              </w:rPr>
              <w:t>assessment judgements</w:t>
            </w:r>
            <w:r>
              <w:rPr>
                <w:rFonts w:ascii="Arial" w:hAnsi="Arial" w:cs="Arial"/>
                <w:color w:val="000000" w:themeColor="text1"/>
              </w:rPr>
              <w:t xml:space="preserve"> and </w:t>
            </w:r>
            <w:r w:rsidRPr="00BC5BEB">
              <w:rPr>
                <w:rFonts w:ascii="Arial" w:hAnsi="Arial" w:cs="Arial"/>
                <w:b/>
                <w:color w:val="000000" w:themeColor="text1"/>
              </w:rPr>
              <w:t>Internal Verifiers</w:t>
            </w:r>
            <w:r>
              <w:rPr>
                <w:rFonts w:ascii="Arial" w:hAnsi="Arial" w:cs="Arial"/>
                <w:color w:val="000000" w:themeColor="text1"/>
              </w:rPr>
              <w:t xml:space="preserve"> (IVs) and </w:t>
            </w:r>
            <w:r w:rsidRPr="00BC5BEB">
              <w:rPr>
                <w:rFonts w:ascii="Arial" w:hAnsi="Arial" w:cs="Arial"/>
                <w:b/>
                <w:color w:val="000000" w:themeColor="text1"/>
              </w:rPr>
              <w:t>External Verifiers</w:t>
            </w:r>
            <w:r>
              <w:rPr>
                <w:rFonts w:ascii="Arial" w:hAnsi="Arial" w:cs="Arial"/>
                <w:color w:val="000000" w:themeColor="text1"/>
              </w:rPr>
              <w:t xml:space="preserve"> (EV) can make </w:t>
            </w:r>
            <w:r w:rsidRPr="00BC5BEB">
              <w:rPr>
                <w:rFonts w:ascii="Arial" w:hAnsi="Arial" w:cs="Arial"/>
                <w:b/>
                <w:color w:val="000000" w:themeColor="text1"/>
              </w:rPr>
              <w:t>verification decisions</w:t>
            </w:r>
            <w:r>
              <w:rPr>
                <w:rFonts w:ascii="Arial" w:hAnsi="Arial" w:cs="Arial"/>
                <w:color w:val="000000" w:themeColor="text1"/>
              </w:rPr>
              <w:t>.</w:t>
            </w:r>
          </w:p>
          <w:p w:rsidR="00F35701" w:rsidRDefault="00F35701" w:rsidP="002D4900">
            <w:pPr>
              <w:rPr>
                <w:rFonts w:ascii="Arial" w:hAnsi="Arial" w:cs="Arial"/>
                <w:color w:val="000000" w:themeColor="text1"/>
              </w:rPr>
            </w:pPr>
            <w:r w:rsidRPr="008A011B">
              <w:rPr>
                <w:rFonts w:ascii="Arial" w:hAnsi="Arial" w:cs="Arial"/>
                <w:b/>
                <w:color w:val="000000" w:themeColor="text1"/>
              </w:rPr>
              <w:t>Internal and External Verification</w:t>
            </w:r>
            <w:r>
              <w:rPr>
                <w:rFonts w:ascii="Arial" w:hAnsi="Arial" w:cs="Arial"/>
                <w:color w:val="000000" w:themeColor="text1"/>
              </w:rPr>
              <w:t xml:space="preserve"> is a process of </w:t>
            </w:r>
            <w:r w:rsidRPr="008A011B">
              <w:rPr>
                <w:rFonts w:ascii="Arial" w:hAnsi="Arial" w:cs="Arial"/>
                <w:b/>
                <w:color w:val="000000" w:themeColor="text1"/>
              </w:rPr>
              <w:t>sampling assessment judgements</w:t>
            </w:r>
            <w:r>
              <w:rPr>
                <w:rFonts w:ascii="Arial" w:hAnsi="Arial" w:cs="Arial"/>
                <w:b/>
                <w:color w:val="000000" w:themeColor="text1"/>
              </w:rPr>
              <w:t xml:space="preserve"> </w:t>
            </w:r>
            <w:r>
              <w:rPr>
                <w:rFonts w:ascii="Arial" w:hAnsi="Arial" w:cs="Arial"/>
                <w:color w:val="000000" w:themeColor="text1"/>
              </w:rPr>
              <w:t xml:space="preserve">to ascertain whether they are </w:t>
            </w:r>
            <w:r w:rsidRPr="008A011B">
              <w:rPr>
                <w:rFonts w:ascii="Arial" w:hAnsi="Arial" w:cs="Arial"/>
                <w:b/>
                <w:color w:val="000000" w:themeColor="text1"/>
              </w:rPr>
              <w:t>valid and reliable</w:t>
            </w:r>
            <w:r>
              <w:rPr>
                <w:rFonts w:ascii="Arial" w:hAnsi="Arial" w:cs="Arial"/>
                <w:color w:val="000000" w:themeColor="text1"/>
              </w:rPr>
              <w:t xml:space="preserve">. It does not consist of independently re-assessing all the evidence and then making a comparison with the assessor’s decisions. This is not practical for either assessor or IV/EV (just as an assessor couldn’t assess </w:t>
            </w:r>
            <w:r w:rsidR="00781F17">
              <w:rPr>
                <w:rFonts w:ascii="Arial" w:hAnsi="Arial" w:cs="Arial"/>
                <w:color w:val="000000" w:themeColor="text1"/>
              </w:rPr>
              <w:t>several</w:t>
            </w:r>
            <w:r>
              <w:rPr>
                <w:rFonts w:ascii="Arial" w:hAnsi="Arial" w:cs="Arial"/>
                <w:color w:val="000000" w:themeColor="text1"/>
              </w:rPr>
              <w:t xml:space="preserve"> portfolios in a few hours, neither can an IV/EV) and is guaranteed to lead to discrepancies, as no two assessors’ judgements will exactly match across a </w:t>
            </w:r>
            <w:r w:rsidR="00781F17">
              <w:rPr>
                <w:rFonts w:ascii="Arial" w:hAnsi="Arial" w:cs="Arial"/>
                <w:color w:val="000000" w:themeColor="text1"/>
              </w:rPr>
              <w:t>whole SVQ</w:t>
            </w:r>
            <w:r>
              <w:rPr>
                <w:rFonts w:ascii="Arial" w:hAnsi="Arial" w:cs="Arial"/>
                <w:color w:val="000000" w:themeColor="text1"/>
              </w:rPr>
              <w:t xml:space="preserve"> portfolio. </w:t>
            </w:r>
          </w:p>
          <w:p w:rsidR="00F35701" w:rsidRDefault="00F35701" w:rsidP="002D4900">
            <w:pPr>
              <w:rPr>
                <w:rFonts w:ascii="Arial" w:hAnsi="Arial" w:cs="Arial"/>
                <w:color w:val="000000" w:themeColor="text1"/>
              </w:rPr>
            </w:pPr>
            <w:r>
              <w:rPr>
                <w:rFonts w:ascii="Arial" w:hAnsi="Arial" w:cs="Arial"/>
                <w:color w:val="000000" w:themeColor="text1"/>
              </w:rPr>
              <w:t xml:space="preserve">Once the </w:t>
            </w:r>
            <w:r w:rsidRPr="00A1688B">
              <w:rPr>
                <w:rFonts w:ascii="Arial" w:hAnsi="Arial" w:cs="Arial"/>
                <w:b/>
                <w:color w:val="000000" w:themeColor="text1"/>
              </w:rPr>
              <w:t>sample</w:t>
            </w:r>
            <w:r>
              <w:rPr>
                <w:rFonts w:ascii="Arial" w:hAnsi="Arial" w:cs="Arial"/>
                <w:color w:val="000000" w:themeColor="text1"/>
              </w:rPr>
              <w:t xml:space="preserve"> is taken, if it meets the required standard the IV/EV can have </w:t>
            </w:r>
            <w:r w:rsidRPr="002C38AF">
              <w:rPr>
                <w:rFonts w:ascii="Arial" w:hAnsi="Arial" w:cs="Arial"/>
                <w:b/>
                <w:color w:val="000000" w:themeColor="text1"/>
              </w:rPr>
              <w:t>confidence</w:t>
            </w:r>
            <w:r>
              <w:rPr>
                <w:rFonts w:ascii="Arial" w:hAnsi="Arial" w:cs="Arial"/>
                <w:color w:val="000000" w:themeColor="text1"/>
              </w:rPr>
              <w:t xml:space="preserve"> that </w:t>
            </w:r>
            <w:r w:rsidR="00176D82">
              <w:rPr>
                <w:rFonts w:ascii="Arial" w:hAnsi="Arial" w:cs="Arial"/>
                <w:color w:val="000000" w:themeColor="text1"/>
              </w:rPr>
              <w:t xml:space="preserve">the other </w:t>
            </w:r>
            <w:r>
              <w:rPr>
                <w:rFonts w:ascii="Arial" w:hAnsi="Arial" w:cs="Arial"/>
                <w:color w:val="000000" w:themeColor="text1"/>
              </w:rPr>
              <w:t xml:space="preserve">assessment decisions throughout the portfolio are also valid and reliable. In the case of External Verification, where there are significant </w:t>
            </w:r>
            <w:r w:rsidR="00E0136B">
              <w:rPr>
                <w:rFonts w:ascii="Arial" w:hAnsi="Arial" w:cs="Arial"/>
                <w:color w:val="000000" w:themeColor="text1"/>
              </w:rPr>
              <w:t>deficienci</w:t>
            </w:r>
            <w:r>
              <w:rPr>
                <w:rFonts w:ascii="Arial" w:hAnsi="Arial" w:cs="Arial"/>
                <w:color w:val="000000" w:themeColor="text1"/>
              </w:rPr>
              <w:t>es, the sample will be widened to ascertain whether this is a reflection of the assessment decisions throughout or an atypical sample. The process continues until the IV/EV reaches a point where they have confidence in the validity and reliability of the assessment decisions</w:t>
            </w:r>
            <w:r w:rsidR="00E0136B">
              <w:rPr>
                <w:rFonts w:ascii="Arial" w:hAnsi="Arial" w:cs="Arial"/>
                <w:color w:val="000000" w:themeColor="text1"/>
              </w:rPr>
              <w:t>,</w:t>
            </w:r>
            <w:r>
              <w:rPr>
                <w:rFonts w:ascii="Arial" w:hAnsi="Arial" w:cs="Arial"/>
                <w:color w:val="000000" w:themeColor="text1"/>
              </w:rPr>
              <w:t xml:space="preserve"> or</w:t>
            </w:r>
            <w:r w:rsidR="00E0136B">
              <w:rPr>
                <w:rFonts w:ascii="Arial" w:hAnsi="Arial" w:cs="Arial"/>
                <w:color w:val="000000" w:themeColor="text1"/>
              </w:rPr>
              <w:t>,</w:t>
            </w:r>
            <w:r>
              <w:rPr>
                <w:rFonts w:ascii="Arial" w:hAnsi="Arial" w:cs="Arial"/>
                <w:color w:val="000000" w:themeColor="text1"/>
              </w:rPr>
              <w:t xml:space="preserve"> that there are significant weaknesses that may require action.</w:t>
            </w:r>
          </w:p>
          <w:p w:rsidR="00F35701" w:rsidRPr="008A011B" w:rsidRDefault="00F35701" w:rsidP="002D4900">
            <w:pPr>
              <w:rPr>
                <w:rFonts w:ascii="Arial" w:hAnsi="Arial" w:cs="Arial"/>
                <w:color w:val="000000" w:themeColor="text1"/>
              </w:rPr>
            </w:pPr>
            <w:r w:rsidRPr="002364C6">
              <w:rPr>
                <w:rFonts w:ascii="Arial" w:hAnsi="Arial" w:cs="Arial"/>
                <w:b/>
                <w:color w:val="000000" w:themeColor="text1"/>
              </w:rPr>
              <w:t>This process cannot function without some form of referencing</w:t>
            </w:r>
            <w:r>
              <w:rPr>
                <w:rFonts w:ascii="Arial" w:hAnsi="Arial" w:cs="Arial"/>
                <w:color w:val="000000" w:themeColor="text1"/>
              </w:rPr>
              <w:t xml:space="preserve">, as it is the referencing that allows the IV/EV to follow the assessment decisions that have been made. If referencing is absent or weak, it is very difficult for an assessor to justify assessment decisions in the event </w:t>
            </w:r>
            <w:r w:rsidR="00176D82">
              <w:rPr>
                <w:rFonts w:ascii="Arial" w:hAnsi="Arial" w:cs="Arial"/>
                <w:color w:val="000000" w:themeColor="text1"/>
              </w:rPr>
              <w:t>that assessor and</w:t>
            </w:r>
            <w:r>
              <w:rPr>
                <w:rFonts w:ascii="Arial" w:hAnsi="Arial" w:cs="Arial"/>
                <w:color w:val="000000" w:themeColor="text1"/>
              </w:rPr>
              <w:t xml:space="preserve"> IV/EV</w:t>
            </w:r>
            <w:r w:rsidR="00176D82">
              <w:rPr>
                <w:rFonts w:ascii="Arial" w:hAnsi="Arial" w:cs="Arial"/>
                <w:color w:val="000000" w:themeColor="text1"/>
              </w:rPr>
              <w:t xml:space="preserve"> are in disagreement. This is because there</w:t>
            </w:r>
            <w:r>
              <w:rPr>
                <w:rFonts w:ascii="Arial" w:hAnsi="Arial" w:cs="Arial"/>
                <w:color w:val="000000" w:themeColor="text1"/>
              </w:rPr>
              <w:t xml:space="preserve"> will be a lack of clarity on the rationale for </w:t>
            </w:r>
            <w:r w:rsidR="00E0136B">
              <w:rPr>
                <w:rFonts w:ascii="Arial" w:hAnsi="Arial" w:cs="Arial"/>
                <w:color w:val="000000" w:themeColor="text1"/>
              </w:rPr>
              <w:t>the</w:t>
            </w:r>
            <w:r>
              <w:rPr>
                <w:rFonts w:ascii="Arial" w:hAnsi="Arial" w:cs="Arial"/>
                <w:color w:val="000000" w:themeColor="text1"/>
              </w:rPr>
              <w:t xml:space="preserve"> assessment decision(s). Ultimately the IV/EV must have confidence in the assessment decisions that have been made, therefore the onus must be on the learner/assessor to </w:t>
            </w:r>
            <w:r w:rsidR="00176D82">
              <w:rPr>
                <w:rFonts w:ascii="Arial" w:hAnsi="Arial" w:cs="Arial"/>
                <w:color w:val="000000" w:themeColor="text1"/>
              </w:rPr>
              <w:t>be clear about the rationale for what claims are being made i.e.</w:t>
            </w:r>
            <w:r>
              <w:rPr>
                <w:rFonts w:ascii="Arial" w:hAnsi="Arial" w:cs="Arial"/>
                <w:color w:val="000000" w:themeColor="text1"/>
              </w:rPr>
              <w:t xml:space="preserve"> what evidence relates to which PIs and Knowledge.</w:t>
            </w:r>
          </w:p>
          <w:p w:rsidR="00F35701" w:rsidRDefault="00F35701" w:rsidP="002D4900">
            <w:pPr>
              <w:rPr>
                <w:rFonts w:ascii="Arial" w:hAnsi="Arial" w:cs="Arial"/>
              </w:rPr>
            </w:pPr>
            <w:r>
              <w:rPr>
                <w:rFonts w:ascii="Arial" w:hAnsi="Arial" w:cs="Arial"/>
                <w:b/>
              </w:rPr>
              <w:t xml:space="preserve">It is strongly recommended </w:t>
            </w:r>
            <w:r>
              <w:rPr>
                <w:rFonts w:ascii="Arial" w:hAnsi="Arial" w:cs="Arial"/>
              </w:rPr>
              <w:t xml:space="preserve">that referencing is done in a way that identifies the location within the evidence where PIs and Knowledge are claimed (e.g. by </w:t>
            </w:r>
            <w:r w:rsidRPr="00530A58">
              <w:rPr>
                <w:rFonts w:ascii="Arial" w:hAnsi="Arial" w:cs="Arial"/>
                <w:b/>
              </w:rPr>
              <w:t>annotating PI and Knowledge</w:t>
            </w:r>
            <w:r>
              <w:rPr>
                <w:rFonts w:ascii="Arial" w:hAnsi="Arial" w:cs="Arial"/>
              </w:rPr>
              <w:t xml:space="preserve"> numbers within the</w:t>
            </w:r>
            <w:r w:rsidR="00176D82">
              <w:rPr>
                <w:rFonts w:ascii="Arial" w:hAnsi="Arial" w:cs="Arial"/>
              </w:rPr>
              <w:t xml:space="preserve"> evidence</w:t>
            </w:r>
            <w:r>
              <w:rPr>
                <w:rFonts w:ascii="Arial" w:hAnsi="Arial" w:cs="Arial"/>
                <w:b/>
              </w:rPr>
              <w:t xml:space="preserve"> </w:t>
            </w:r>
            <w:r>
              <w:rPr>
                <w:rFonts w:ascii="Arial" w:hAnsi="Arial" w:cs="Arial"/>
              </w:rPr>
              <w:t>at the point they occur, or at the side of the page next to it). If this is not done (e.g. PIs and Knowledge are annotated only at the top or foot o</w:t>
            </w:r>
            <w:r w:rsidR="00176D82">
              <w:rPr>
                <w:rFonts w:ascii="Arial" w:hAnsi="Arial" w:cs="Arial"/>
              </w:rPr>
              <w:t>f the page)</w:t>
            </w:r>
            <w:r>
              <w:rPr>
                <w:rFonts w:ascii="Arial" w:hAnsi="Arial" w:cs="Arial"/>
              </w:rPr>
              <w:t xml:space="preserve"> this leads to a scenario where that evidence is being independently re-assessed which is more time consuming for all concerned and more likely to lead to discrepancies that have to be clarified.</w:t>
            </w:r>
          </w:p>
          <w:p w:rsidR="00F35701" w:rsidRDefault="00F35701" w:rsidP="002D4900">
            <w:pPr>
              <w:rPr>
                <w:rFonts w:ascii="Arial" w:hAnsi="Arial" w:cs="Arial"/>
              </w:rPr>
            </w:pPr>
            <w:r>
              <w:rPr>
                <w:rFonts w:ascii="Arial" w:hAnsi="Arial" w:cs="Arial"/>
              </w:rPr>
              <w:t>It is acknowledged that referencing in this way is not always possible</w:t>
            </w:r>
            <w:r w:rsidR="007E0D28">
              <w:rPr>
                <w:rFonts w:ascii="Arial" w:hAnsi="Arial" w:cs="Arial"/>
              </w:rPr>
              <w:t xml:space="preserve"> - </w:t>
            </w:r>
            <w:r>
              <w:rPr>
                <w:rFonts w:ascii="Arial" w:hAnsi="Arial" w:cs="Arial"/>
              </w:rPr>
              <w:t xml:space="preserve">some </w:t>
            </w:r>
            <w:r w:rsidRPr="00A1688B">
              <w:rPr>
                <w:rFonts w:ascii="Arial" w:hAnsi="Arial" w:cs="Arial"/>
                <w:b/>
              </w:rPr>
              <w:t>E-Portfolios</w:t>
            </w:r>
            <w:r>
              <w:rPr>
                <w:rFonts w:ascii="Arial" w:hAnsi="Arial" w:cs="Arial"/>
              </w:rPr>
              <w:t xml:space="preserve"> </w:t>
            </w:r>
            <w:r w:rsidR="007E0D28">
              <w:rPr>
                <w:rFonts w:ascii="Arial" w:hAnsi="Arial" w:cs="Arial"/>
              </w:rPr>
              <w:t>are not condusive to</w:t>
            </w:r>
            <w:r>
              <w:rPr>
                <w:rFonts w:ascii="Arial" w:hAnsi="Arial" w:cs="Arial"/>
              </w:rPr>
              <w:t xml:space="preserve"> this approach</w:t>
            </w:r>
            <w:r w:rsidR="00176D82">
              <w:rPr>
                <w:rFonts w:ascii="Arial" w:hAnsi="Arial" w:cs="Arial"/>
              </w:rPr>
              <w:t xml:space="preserve"> - </w:t>
            </w:r>
            <w:r>
              <w:rPr>
                <w:rFonts w:ascii="Arial" w:hAnsi="Arial" w:cs="Arial"/>
              </w:rPr>
              <w:t xml:space="preserve">and there are some PIs and Knowledge that are more </w:t>
            </w:r>
            <w:r w:rsidRPr="00A1688B">
              <w:rPr>
                <w:rFonts w:ascii="Arial" w:hAnsi="Arial" w:cs="Arial"/>
                <w:b/>
              </w:rPr>
              <w:t>holistic</w:t>
            </w:r>
            <w:r>
              <w:rPr>
                <w:rFonts w:ascii="Arial" w:hAnsi="Arial" w:cs="Arial"/>
              </w:rPr>
              <w:t xml:space="preserve"> in nature and </w:t>
            </w:r>
            <w:r w:rsidR="007E0D28">
              <w:rPr>
                <w:rFonts w:ascii="Arial" w:hAnsi="Arial" w:cs="Arial"/>
              </w:rPr>
              <w:t>not easily pinpointed to one place</w:t>
            </w:r>
            <w:r w:rsidR="00176D82">
              <w:rPr>
                <w:rFonts w:ascii="Arial" w:hAnsi="Arial" w:cs="Arial"/>
              </w:rPr>
              <w:t>. H</w:t>
            </w:r>
            <w:r>
              <w:rPr>
                <w:rFonts w:ascii="Arial" w:hAnsi="Arial" w:cs="Arial"/>
              </w:rPr>
              <w:t>owever</w:t>
            </w:r>
            <w:r w:rsidR="004B41E7">
              <w:rPr>
                <w:rFonts w:ascii="Arial" w:hAnsi="Arial" w:cs="Arial"/>
              </w:rPr>
              <w:t>,</w:t>
            </w:r>
            <w:r>
              <w:rPr>
                <w:rFonts w:ascii="Arial" w:hAnsi="Arial" w:cs="Arial"/>
              </w:rPr>
              <w:t xml:space="preserve"> </w:t>
            </w:r>
            <w:r w:rsidRPr="00A1688B">
              <w:rPr>
                <w:rFonts w:ascii="Arial" w:hAnsi="Arial" w:cs="Arial"/>
                <w:b/>
              </w:rPr>
              <w:t>assessors</w:t>
            </w:r>
            <w:r>
              <w:rPr>
                <w:rFonts w:ascii="Arial" w:hAnsi="Arial" w:cs="Arial"/>
              </w:rPr>
              <w:t xml:space="preserve"> should make every effort to provide clarity as to which areas of evidence relate to which PIs and Knowledge. </w:t>
            </w:r>
          </w:p>
          <w:p w:rsidR="00F35701" w:rsidRDefault="00F35701" w:rsidP="002D4900">
            <w:pPr>
              <w:rPr>
                <w:rFonts w:ascii="Arial" w:hAnsi="Arial" w:cs="Arial"/>
              </w:rPr>
            </w:pPr>
            <w:r>
              <w:rPr>
                <w:rFonts w:ascii="Arial" w:hAnsi="Arial" w:cs="Arial"/>
              </w:rPr>
              <w:t xml:space="preserve">For most forms of evidence, e.g. </w:t>
            </w:r>
            <w:r w:rsidR="00176D82">
              <w:rPr>
                <w:rFonts w:ascii="Arial" w:hAnsi="Arial" w:cs="Arial"/>
              </w:rPr>
              <w:t>P</w:t>
            </w:r>
            <w:r>
              <w:rPr>
                <w:rFonts w:ascii="Arial" w:hAnsi="Arial" w:cs="Arial"/>
              </w:rPr>
              <w:t xml:space="preserve">ersonal </w:t>
            </w:r>
            <w:r w:rsidR="00176D82">
              <w:rPr>
                <w:rFonts w:ascii="Arial" w:hAnsi="Arial" w:cs="Arial"/>
              </w:rPr>
              <w:t>S</w:t>
            </w:r>
            <w:r>
              <w:rPr>
                <w:rFonts w:ascii="Arial" w:hAnsi="Arial" w:cs="Arial"/>
              </w:rPr>
              <w:t xml:space="preserve">tatements, </w:t>
            </w:r>
            <w:r w:rsidR="00176D82">
              <w:rPr>
                <w:rFonts w:ascii="Arial" w:hAnsi="Arial" w:cs="Arial"/>
              </w:rPr>
              <w:t>W</w:t>
            </w:r>
            <w:r>
              <w:rPr>
                <w:rFonts w:ascii="Arial" w:hAnsi="Arial" w:cs="Arial"/>
              </w:rPr>
              <w:t xml:space="preserve">ork </w:t>
            </w:r>
            <w:r w:rsidR="00176D82">
              <w:rPr>
                <w:rFonts w:ascii="Arial" w:hAnsi="Arial" w:cs="Arial"/>
              </w:rPr>
              <w:t>P</w:t>
            </w:r>
            <w:r>
              <w:rPr>
                <w:rFonts w:ascii="Arial" w:hAnsi="Arial" w:cs="Arial"/>
              </w:rPr>
              <w:t xml:space="preserve">roducts, </w:t>
            </w:r>
            <w:r w:rsidR="00176D82">
              <w:rPr>
                <w:rFonts w:ascii="Arial" w:hAnsi="Arial" w:cs="Arial"/>
              </w:rPr>
              <w:t>W</w:t>
            </w:r>
            <w:r>
              <w:rPr>
                <w:rFonts w:ascii="Arial" w:hAnsi="Arial" w:cs="Arial"/>
              </w:rPr>
              <w:t xml:space="preserve">itness </w:t>
            </w:r>
            <w:r w:rsidR="00176D82">
              <w:rPr>
                <w:rFonts w:ascii="Arial" w:hAnsi="Arial" w:cs="Arial"/>
              </w:rPr>
              <w:t>T</w:t>
            </w:r>
            <w:r>
              <w:rPr>
                <w:rFonts w:ascii="Arial" w:hAnsi="Arial" w:cs="Arial"/>
              </w:rPr>
              <w:t xml:space="preserve">estimonies etc. the candidate can be asked to do the referencing </w:t>
            </w:r>
            <w:r w:rsidR="00176D82">
              <w:rPr>
                <w:rFonts w:ascii="Arial" w:hAnsi="Arial" w:cs="Arial"/>
              </w:rPr>
              <w:t xml:space="preserve">themselves </w:t>
            </w:r>
            <w:r>
              <w:rPr>
                <w:rFonts w:ascii="Arial" w:hAnsi="Arial" w:cs="Arial"/>
              </w:rPr>
              <w:t xml:space="preserve">to reduce the onus on the assessor. This can </w:t>
            </w:r>
            <w:r w:rsidR="00176D82">
              <w:rPr>
                <w:rFonts w:ascii="Arial" w:hAnsi="Arial" w:cs="Arial"/>
              </w:rPr>
              <w:t xml:space="preserve">also </w:t>
            </w:r>
            <w:r>
              <w:rPr>
                <w:rFonts w:ascii="Arial" w:hAnsi="Arial" w:cs="Arial"/>
              </w:rPr>
              <w:t xml:space="preserve">help focus candidates </w:t>
            </w:r>
            <w:r w:rsidR="00A1688B">
              <w:rPr>
                <w:rFonts w:ascii="Arial" w:hAnsi="Arial" w:cs="Arial"/>
              </w:rPr>
              <w:t>with</w:t>
            </w:r>
            <w:r>
              <w:rPr>
                <w:rFonts w:ascii="Arial" w:hAnsi="Arial" w:cs="Arial"/>
              </w:rPr>
              <w:t xml:space="preserve"> the examples and types of evidence they need to provide, however the assessor should double-check the claims.</w:t>
            </w:r>
          </w:p>
          <w:p w:rsidR="003B3065" w:rsidRDefault="00F35701" w:rsidP="002D4900">
            <w:pPr>
              <w:rPr>
                <w:rFonts w:ascii="Arial" w:hAnsi="Arial" w:cs="Arial"/>
              </w:rPr>
            </w:pPr>
            <w:r>
              <w:rPr>
                <w:rFonts w:ascii="Arial" w:hAnsi="Arial" w:cs="Arial"/>
              </w:rPr>
              <w:t xml:space="preserve">Refer to Understanding Standards website for examples </w:t>
            </w:r>
          </w:p>
          <w:p w:rsidR="00F35701" w:rsidRDefault="00635950" w:rsidP="002D4900">
            <w:pPr>
              <w:rPr>
                <w:rFonts w:ascii="Arial" w:hAnsi="Arial" w:cs="Arial"/>
              </w:rPr>
            </w:pPr>
            <w:hyperlink r:id="rId10" w:history="1">
              <w:r w:rsidR="00152689" w:rsidRPr="00DF652A">
                <w:rPr>
                  <w:rStyle w:val="Hyperlink"/>
                  <w:rFonts w:ascii="Arial" w:hAnsi="Arial" w:cs="Arial"/>
                </w:rPr>
                <w:t>https://www.understandingstandards.org.uk/Subjects/SVQ/BusinessAdministration/svq_ba_home</w:t>
              </w:r>
            </w:hyperlink>
          </w:p>
          <w:p w:rsidR="00152689" w:rsidRPr="00C43C6C" w:rsidRDefault="00152689" w:rsidP="002D4900">
            <w:pPr>
              <w:rPr>
                <w:rFonts w:ascii="Arial" w:hAnsi="Arial" w:cs="Arial"/>
              </w:rPr>
            </w:pPr>
          </w:p>
        </w:tc>
      </w:tr>
    </w:tbl>
    <w:p w:rsidR="00173833" w:rsidRDefault="00173833">
      <w:pPr>
        <w:pStyle w:val="ListParagraph"/>
        <w:ind w:left="0"/>
        <w:rPr>
          <w:rFonts w:ascii="Arial" w:hAnsi="Arial" w:cs="Arial"/>
          <w:b/>
          <w:bCs/>
        </w:rPr>
      </w:pPr>
    </w:p>
    <w:p w:rsidR="009F54F9" w:rsidRDefault="009F54F9">
      <w:pPr>
        <w:pStyle w:val="ListParagraph"/>
        <w:ind w:left="0"/>
        <w:rPr>
          <w:rFonts w:ascii="Arial" w:hAnsi="Arial" w:cs="Arial"/>
          <w:b/>
          <w:bCs/>
        </w:rPr>
      </w:pPr>
    </w:p>
    <w:p w:rsidR="009F54F9" w:rsidRDefault="00A6528B" w:rsidP="00315F8F">
      <w:pPr>
        <w:spacing w:after="0" w:line="240" w:lineRule="auto"/>
        <w:rPr>
          <w:rFonts w:ascii="Arial" w:hAnsi="Arial" w:cs="Arial"/>
          <w:b/>
          <w:bCs/>
        </w:rPr>
      </w:pPr>
      <w:r>
        <w:rPr>
          <w:rFonts w:ascii="Arial" w:hAnsi="Arial" w:cs="Arial"/>
          <w:b/>
          <w:bCs/>
        </w:rPr>
        <w:t xml:space="preserve"> </w:t>
      </w:r>
    </w:p>
    <w:tbl>
      <w:tblPr>
        <w:tblStyle w:val="TableGrid"/>
        <w:tblW w:w="10065" w:type="dxa"/>
        <w:tblInd w:w="-459" w:type="dxa"/>
        <w:tblLook w:val="04A0" w:firstRow="1" w:lastRow="0" w:firstColumn="1" w:lastColumn="0" w:noHBand="0" w:noVBand="1"/>
      </w:tblPr>
      <w:tblGrid>
        <w:gridCol w:w="10065"/>
      </w:tblGrid>
      <w:tr w:rsidR="007E0D28" w:rsidTr="001C53F5">
        <w:tc>
          <w:tcPr>
            <w:tcW w:w="10065" w:type="dxa"/>
            <w:shd w:val="clear" w:color="auto" w:fill="D9D9D9" w:themeFill="background1" w:themeFillShade="D9"/>
          </w:tcPr>
          <w:p w:rsidR="007E0D28" w:rsidRPr="00173833" w:rsidRDefault="007E0D28" w:rsidP="001C53F5">
            <w:pPr>
              <w:rPr>
                <w:rFonts w:ascii="Arial" w:hAnsi="Arial" w:cs="Arial"/>
                <w:b/>
                <w:bCs/>
              </w:rPr>
            </w:pPr>
            <w:r>
              <w:rPr>
                <w:rFonts w:ascii="Arial" w:hAnsi="Arial" w:cs="Arial"/>
                <w:b/>
                <w:bCs/>
              </w:rPr>
              <w:t>How and why is evidence annotated?</w:t>
            </w:r>
          </w:p>
        </w:tc>
      </w:tr>
      <w:tr w:rsidR="007E0D28" w:rsidTr="001C53F5">
        <w:tc>
          <w:tcPr>
            <w:tcW w:w="10065" w:type="dxa"/>
          </w:tcPr>
          <w:p w:rsidR="007E0D28" w:rsidRDefault="007E0D28" w:rsidP="002D4900">
            <w:pPr>
              <w:pStyle w:val="ListParagraph"/>
              <w:ind w:left="0"/>
              <w:rPr>
                <w:rFonts w:ascii="Arial" w:hAnsi="Arial" w:cs="Arial"/>
                <w:color w:val="FF0000"/>
                <w:sz w:val="2"/>
                <w:szCs w:val="2"/>
              </w:rPr>
            </w:pPr>
          </w:p>
          <w:p w:rsidR="007E0D28" w:rsidRDefault="007E0D28" w:rsidP="002D4900">
            <w:pPr>
              <w:rPr>
                <w:rFonts w:ascii="Arial" w:hAnsi="Arial" w:cs="Arial"/>
                <w:color w:val="000000" w:themeColor="text1"/>
              </w:rPr>
            </w:pPr>
            <w:r>
              <w:rPr>
                <w:rFonts w:ascii="Arial" w:hAnsi="Arial" w:cs="Arial"/>
                <w:color w:val="000000" w:themeColor="text1"/>
              </w:rPr>
              <w:t>Some</w:t>
            </w:r>
            <w:r w:rsidRPr="009C2673">
              <w:rPr>
                <w:rFonts w:ascii="Arial" w:hAnsi="Arial" w:cs="Arial"/>
                <w:color w:val="000000" w:themeColor="text1"/>
              </w:rPr>
              <w:t xml:space="preserve"> forms of </w:t>
            </w:r>
            <w:r w:rsidRPr="009B536B">
              <w:rPr>
                <w:rFonts w:ascii="Arial" w:hAnsi="Arial" w:cs="Arial"/>
                <w:b/>
                <w:color w:val="000000" w:themeColor="text1"/>
              </w:rPr>
              <w:t>Work Product</w:t>
            </w:r>
            <w:r w:rsidRPr="009C2673">
              <w:rPr>
                <w:rFonts w:ascii="Arial" w:hAnsi="Arial" w:cs="Arial"/>
                <w:color w:val="000000" w:themeColor="text1"/>
              </w:rPr>
              <w:t xml:space="preserve"> are meaningless without </w:t>
            </w:r>
            <w:r w:rsidRPr="0023175E">
              <w:rPr>
                <w:rFonts w:ascii="Arial" w:hAnsi="Arial" w:cs="Arial"/>
                <w:b/>
                <w:color w:val="000000" w:themeColor="text1"/>
              </w:rPr>
              <w:t>annotation</w:t>
            </w:r>
            <w:r w:rsidRPr="009C2673">
              <w:rPr>
                <w:rFonts w:ascii="Arial" w:hAnsi="Arial" w:cs="Arial"/>
                <w:color w:val="000000" w:themeColor="text1"/>
              </w:rPr>
              <w:t xml:space="preserve"> as they do not </w:t>
            </w:r>
            <w:r>
              <w:rPr>
                <w:rFonts w:ascii="Arial" w:hAnsi="Arial" w:cs="Arial"/>
                <w:color w:val="000000" w:themeColor="text1"/>
              </w:rPr>
              <w:t xml:space="preserve">provide </w:t>
            </w:r>
            <w:r w:rsidRPr="0023175E">
              <w:rPr>
                <w:rFonts w:ascii="Arial" w:hAnsi="Arial" w:cs="Arial"/>
                <w:b/>
                <w:color w:val="000000" w:themeColor="text1"/>
              </w:rPr>
              <w:t xml:space="preserve">context </w:t>
            </w:r>
            <w:r>
              <w:rPr>
                <w:rFonts w:ascii="Arial" w:hAnsi="Arial" w:cs="Arial"/>
                <w:color w:val="000000" w:themeColor="text1"/>
              </w:rPr>
              <w:t xml:space="preserve">to </w:t>
            </w:r>
            <w:r w:rsidRPr="009C2673">
              <w:rPr>
                <w:rFonts w:ascii="Arial" w:hAnsi="Arial" w:cs="Arial"/>
                <w:color w:val="000000" w:themeColor="text1"/>
              </w:rPr>
              <w:t xml:space="preserve">explain the </w:t>
            </w:r>
            <w:r w:rsidRPr="0023175E">
              <w:rPr>
                <w:rFonts w:ascii="Arial" w:hAnsi="Arial" w:cs="Arial"/>
                <w:b/>
                <w:color w:val="000000" w:themeColor="text1"/>
              </w:rPr>
              <w:t>candidate’s role in producing it</w:t>
            </w:r>
            <w:r>
              <w:rPr>
                <w:rFonts w:ascii="Arial" w:hAnsi="Arial" w:cs="Arial"/>
                <w:color w:val="000000" w:themeColor="text1"/>
              </w:rPr>
              <w:t xml:space="preserve"> (e.g. a meeting agenda</w:t>
            </w:r>
            <w:r w:rsidRPr="009C2673">
              <w:rPr>
                <w:rFonts w:ascii="Arial" w:hAnsi="Arial" w:cs="Arial"/>
                <w:color w:val="000000" w:themeColor="text1"/>
              </w:rPr>
              <w:t xml:space="preserve"> or a health and safety policy). </w:t>
            </w:r>
            <w:r>
              <w:rPr>
                <w:rFonts w:ascii="Arial" w:hAnsi="Arial" w:cs="Arial"/>
                <w:color w:val="000000" w:themeColor="text1"/>
              </w:rPr>
              <w:t xml:space="preserve">The reason for annotating Work Product is to clarify the candidate’s role and therefore </w:t>
            </w:r>
            <w:r w:rsidRPr="0023175E">
              <w:rPr>
                <w:rFonts w:ascii="Arial" w:hAnsi="Arial" w:cs="Arial"/>
                <w:b/>
                <w:color w:val="000000" w:themeColor="text1"/>
              </w:rPr>
              <w:t>what the evidence demonstrates</w:t>
            </w:r>
            <w:r>
              <w:rPr>
                <w:rFonts w:ascii="Arial" w:hAnsi="Arial" w:cs="Arial"/>
                <w:color w:val="000000" w:themeColor="text1"/>
              </w:rPr>
              <w:t xml:space="preserve"> about their </w:t>
            </w:r>
            <w:r w:rsidRPr="00983A97">
              <w:rPr>
                <w:rFonts w:ascii="Arial" w:hAnsi="Arial" w:cs="Arial"/>
                <w:b/>
                <w:color w:val="000000" w:themeColor="text1"/>
              </w:rPr>
              <w:t>competence</w:t>
            </w:r>
            <w:r>
              <w:rPr>
                <w:rFonts w:ascii="Arial" w:hAnsi="Arial" w:cs="Arial"/>
                <w:color w:val="000000" w:themeColor="text1"/>
              </w:rPr>
              <w:t xml:space="preserve"> (e.g. in the case of the meeting agenda, did they use a template or create the document from scratch? Did they have to ‘chase-up’ information or was it all provided in full? How much time did they have to produce it? etc.). This then influences the </w:t>
            </w:r>
            <w:r w:rsidRPr="00983A97">
              <w:rPr>
                <w:rFonts w:ascii="Arial" w:hAnsi="Arial" w:cs="Arial"/>
                <w:b/>
                <w:color w:val="000000" w:themeColor="text1"/>
              </w:rPr>
              <w:t>assessor’s assessment decision</w:t>
            </w:r>
            <w:r>
              <w:rPr>
                <w:rFonts w:ascii="Arial" w:hAnsi="Arial" w:cs="Arial"/>
                <w:color w:val="000000" w:themeColor="text1"/>
              </w:rPr>
              <w:t xml:space="preserve"> as to what the candidate has evidenced.</w:t>
            </w:r>
          </w:p>
          <w:p w:rsidR="007E0D28" w:rsidRDefault="007E0D28" w:rsidP="002D4900">
            <w:pPr>
              <w:rPr>
                <w:rFonts w:ascii="Arial" w:hAnsi="Arial" w:cs="Arial"/>
                <w:color w:val="000000" w:themeColor="text1"/>
              </w:rPr>
            </w:pPr>
            <w:r>
              <w:rPr>
                <w:rFonts w:ascii="Arial" w:hAnsi="Arial" w:cs="Arial"/>
                <w:color w:val="000000" w:themeColor="text1"/>
              </w:rPr>
              <w:t xml:space="preserve">Separately recorded </w:t>
            </w:r>
            <w:r>
              <w:rPr>
                <w:rFonts w:ascii="Arial" w:hAnsi="Arial" w:cs="Arial"/>
                <w:b/>
                <w:color w:val="000000" w:themeColor="text1"/>
              </w:rPr>
              <w:t>s</w:t>
            </w:r>
            <w:r w:rsidRPr="00DA5BD0">
              <w:rPr>
                <w:rFonts w:ascii="Arial" w:hAnsi="Arial" w:cs="Arial"/>
                <w:b/>
                <w:color w:val="000000" w:themeColor="text1"/>
              </w:rPr>
              <w:t>upporting evidence</w:t>
            </w:r>
            <w:r>
              <w:rPr>
                <w:rFonts w:ascii="Arial" w:hAnsi="Arial" w:cs="Arial"/>
                <w:color w:val="000000" w:themeColor="text1"/>
              </w:rPr>
              <w:t xml:space="preserve"> can be used to clarify the candidate’s role in such examples (e.g. questioning, personal statements, witness testimony etc). This is acceptable, however, rather than have three separate items of evidence relating to the same task, it is better if it can be combined in one (e.g. by providing screenshots of </w:t>
            </w:r>
            <w:r w:rsidR="00EF4EC6">
              <w:rPr>
                <w:rFonts w:ascii="Arial" w:hAnsi="Arial" w:cs="Arial"/>
                <w:color w:val="000000" w:themeColor="text1"/>
              </w:rPr>
              <w:t xml:space="preserve">an </w:t>
            </w:r>
            <w:r>
              <w:rPr>
                <w:rFonts w:ascii="Arial" w:hAnsi="Arial" w:cs="Arial"/>
                <w:color w:val="000000" w:themeColor="text1"/>
              </w:rPr>
              <w:t xml:space="preserve">email thread (Work Product) within a Personal Statement). In a sense, this is the Work Product “annotating” the supporting evidence, however that is not important; the priority is to present evidence in a way that can provide the entire picture in one place, rather than have to refer to multiple items of evidence for the same task. </w:t>
            </w:r>
          </w:p>
          <w:p w:rsidR="007E0D28" w:rsidRDefault="007E0D28" w:rsidP="002D4900">
            <w:pPr>
              <w:rPr>
                <w:rFonts w:ascii="Arial" w:hAnsi="Arial" w:cs="Arial"/>
                <w:color w:val="000000" w:themeColor="text1"/>
              </w:rPr>
            </w:pPr>
            <w:r>
              <w:rPr>
                <w:rFonts w:ascii="Arial" w:hAnsi="Arial" w:cs="Arial"/>
                <w:color w:val="000000" w:themeColor="text1"/>
              </w:rPr>
              <w:t>There are many ways to annotate evidence. Simple examples include - writing on white space within a document</w:t>
            </w:r>
            <w:r w:rsidR="00A1688B">
              <w:rPr>
                <w:rFonts w:ascii="Arial" w:hAnsi="Arial" w:cs="Arial"/>
                <w:color w:val="000000" w:themeColor="text1"/>
              </w:rPr>
              <w:t xml:space="preserve"> and</w:t>
            </w:r>
            <w:r>
              <w:rPr>
                <w:rFonts w:ascii="Arial" w:hAnsi="Arial" w:cs="Arial"/>
                <w:color w:val="000000" w:themeColor="text1"/>
              </w:rPr>
              <w:t xml:space="preserve"> scanning photographs onto a personal statement. </w:t>
            </w:r>
            <w:r w:rsidRPr="00A1688B">
              <w:rPr>
                <w:rFonts w:ascii="Arial" w:hAnsi="Arial" w:cs="Arial"/>
                <w:b/>
                <w:color w:val="000000" w:themeColor="text1"/>
              </w:rPr>
              <w:t>E-Portfolios</w:t>
            </w:r>
            <w:r>
              <w:rPr>
                <w:rFonts w:ascii="Arial" w:hAnsi="Arial" w:cs="Arial"/>
                <w:color w:val="000000" w:themeColor="text1"/>
              </w:rPr>
              <w:t xml:space="preserve"> will have other means of annotating evidence.</w:t>
            </w:r>
          </w:p>
          <w:p w:rsidR="007E0D28" w:rsidRPr="002B1D63" w:rsidRDefault="007E0D28" w:rsidP="002D4900">
            <w:pPr>
              <w:rPr>
                <w:rFonts w:ascii="Arial" w:hAnsi="Arial" w:cs="Arial"/>
                <w:color w:val="FF0000"/>
              </w:rPr>
            </w:pPr>
            <w:r>
              <w:rPr>
                <w:rFonts w:ascii="Arial" w:hAnsi="Arial" w:cs="Arial"/>
                <w:color w:val="000000" w:themeColor="text1"/>
              </w:rPr>
              <w:t xml:space="preserve">Annotation also helps </w:t>
            </w:r>
            <w:r w:rsidRPr="00983A97">
              <w:rPr>
                <w:rFonts w:ascii="Arial" w:hAnsi="Arial" w:cs="Arial"/>
                <w:b/>
                <w:color w:val="000000" w:themeColor="text1"/>
              </w:rPr>
              <w:t>authenticate</w:t>
            </w:r>
            <w:r>
              <w:rPr>
                <w:rFonts w:ascii="Arial" w:hAnsi="Arial" w:cs="Arial"/>
                <w:color w:val="000000" w:themeColor="text1"/>
              </w:rPr>
              <w:t xml:space="preserve"> evidence</w:t>
            </w:r>
            <w:r w:rsidR="00EF4EC6">
              <w:rPr>
                <w:rFonts w:ascii="Arial" w:hAnsi="Arial" w:cs="Arial"/>
                <w:color w:val="000000" w:themeColor="text1"/>
              </w:rPr>
              <w:t xml:space="preserve"> as it</w:t>
            </w:r>
            <w:r>
              <w:rPr>
                <w:rFonts w:ascii="Arial" w:hAnsi="Arial" w:cs="Arial"/>
                <w:color w:val="000000" w:themeColor="text1"/>
              </w:rPr>
              <w:t xml:space="preserve"> clarifies the circumstances around how the candidate produced it, and contributes to the wider picture of the candidate’s job role in general terms.</w:t>
            </w:r>
          </w:p>
        </w:tc>
      </w:tr>
      <w:tr w:rsidR="001C53F5" w:rsidTr="001C53F5">
        <w:tc>
          <w:tcPr>
            <w:tcW w:w="10065" w:type="dxa"/>
            <w:shd w:val="clear" w:color="auto" w:fill="D9D9D9" w:themeFill="background1" w:themeFillShade="D9"/>
          </w:tcPr>
          <w:p w:rsidR="001C53F5" w:rsidRPr="00173833" w:rsidRDefault="001C53F5" w:rsidP="002D4900">
            <w:pPr>
              <w:rPr>
                <w:rFonts w:ascii="Arial" w:hAnsi="Arial" w:cs="Arial"/>
                <w:b/>
                <w:bCs/>
              </w:rPr>
            </w:pPr>
            <w:r>
              <w:rPr>
                <w:rFonts w:ascii="Arial" w:hAnsi="Arial" w:cs="Arial"/>
                <w:b/>
                <w:bCs/>
              </w:rPr>
              <w:t>Should spelling and grammar be assessed?</w:t>
            </w:r>
          </w:p>
        </w:tc>
      </w:tr>
      <w:tr w:rsidR="001C53F5" w:rsidTr="001C53F5">
        <w:tc>
          <w:tcPr>
            <w:tcW w:w="10065" w:type="dxa"/>
          </w:tcPr>
          <w:p w:rsidR="001C53F5" w:rsidRPr="001533BD" w:rsidRDefault="001C53F5" w:rsidP="002D4900">
            <w:pPr>
              <w:rPr>
                <w:rFonts w:ascii="Arial" w:hAnsi="Arial" w:cs="Arial"/>
              </w:rPr>
            </w:pPr>
            <w:r>
              <w:rPr>
                <w:rFonts w:ascii="Arial" w:hAnsi="Arial" w:cs="Arial"/>
              </w:rPr>
              <w:br/>
              <w:t>J</w:t>
            </w:r>
            <w:r w:rsidRPr="001533BD">
              <w:rPr>
                <w:rFonts w:ascii="Arial" w:hAnsi="Arial" w:cs="Arial"/>
              </w:rPr>
              <w:t xml:space="preserve">udgement of competence </w:t>
            </w:r>
            <w:r>
              <w:rPr>
                <w:rFonts w:ascii="Arial" w:hAnsi="Arial" w:cs="Arial"/>
              </w:rPr>
              <w:t>should not be influenced by factors</w:t>
            </w:r>
            <w:r w:rsidRPr="001533BD">
              <w:rPr>
                <w:rFonts w:ascii="Arial" w:hAnsi="Arial" w:cs="Arial"/>
              </w:rPr>
              <w:t xml:space="preserve"> not related</w:t>
            </w:r>
            <w:r>
              <w:rPr>
                <w:rFonts w:ascii="Arial" w:hAnsi="Arial" w:cs="Arial"/>
              </w:rPr>
              <w:t xml:space="preserve"> to the standard being assessed</w:t>
            </w:r>
            <w:r w:rsidRPr="001533BD">
              <w:rPr>
                <w:rFonts w:ascii="Arial" w:hAnsi="Arial" w:cs="Arial"/>
              </w:rPr>
              <w:t xml:space="preserve">. </w:t>
            </w:r>
            <w:r>
              <w:rPr>
                <w:rFonts w:ascii="Arial" w:hAnsi="Arial" w:cs="Arial"/>
              </w:rPr>
              <w:t xml:space="preserve">This impairs the </w:t>
            </w:r>
            <w:r>
              <w:rPr>
                <w:rFonts w:ascii="Arial" w:hAnsi="Arial" w:cs="Arial"/>
                <w:b/>
              </w:rPr>
              <w:t xml:space="preserve">validity </w:t>
            </w:r>
            <w:r>
              <w:rPr>
                <w:rFonts w:ascii="Arial" w:hAnsi="Arial" w:cs="Arial"/>
              </w:rPr>
              <w:t>of assessment. Spelling and grammar</w:t>
            </w:r>
            <w:r w:rsidRPr="001533BD">
              <w:rPr>
                <w:rFonts w:ascii="Arial" w:hAnsi="Arial" w:cs="Arial"/>
              </w:rPr>
              <w:t xml:space="preserve"> is </w:t>
            </w:r>
            <w:r>
              <w:rPr>
                <w:rFonts w:ascii="Arial" w:hAnsi="Arial" w:cs="Arial"/>
              </w:rPr>
              <w:t xml:space="preserve">more </w:t>
            </w:r>
            <w:r w:rsidRPr="001533BD">
              <w:rPr>
                <w:rFonts w:ascii="Arial" w:hAnsi="Arial" w:cs="Arial"/>
              </w:rPr>
              <w:t xml:space="preserve">likely to be relevant to the </w:t>
            </w:r>
            <w:r w:rsidRPr="0053631F">
              <w:rPr>
                <w:rFonts w:ascii="Arial" w:hAnsi="Arial" w:cs="Arial"/>
                <w:b/>
              </w:rPr>
              <w:t>Communication mandatory units</w:t>
            </w:r>
            <w:r w:rsidRPr="001533BD">
              <w:rPr>
                <w:rFonts w:ascii="Arial" w:hAnsi="Arial" w:cs="Arial"/>
              </w:rPr>
              <w:t xml:space="preserve"> where communication to an appropriate </w:t>
            </w:r>
            <w:r w:rsidRPr="00A1688B">
              <w:rPr>
                <w:rFonts w:ascii="Arial" w:hAnsi="Arial" w:cs="Arial"/>
                <w:b/>
              </w:rPr>
              <w:t xml:space="preserve">business standard </w:t>
            </w:r>
            <w:r w:rsidR="00214EEB">
              <w:rPr>
                <w:rFonts w:ascii="Arial" w:hAnsi="Arial" w:cs="Arial"/>
              </w:rPr>
              <w:t xml:space="preserve">is required. </w:t>
            </w:r>
            <w:r>
              <w:rPr>
                <w:rFonts w:ascii="Arial" w:hAnsi="Arial" w:cs="Arial"/>
              </w:rPr>
              <w:t xml:space="preserve">This is something centres need to be vigilant of when mapping to the Communication Unit from optional units, particularly SCQF level 5 units. </w:t>
            </w:r>
          </w:p>
          <w:p w:rsidR="001C53F5" w:rsidRPr="005A7A83" w:rsidRDefault="001C53F5" w:rsidP="002D4900">
            <w:pPr>
              <w:rPr>
                <w:rFonts w:ascii="Arial" w:hAnsi="Arial" w:cs="Arial"/>
                <w:color w:val="FF0000"/>
              </w:rPr>
            </w:pPr>
            <w:r w:rsidRPr="001533BD">
              <w:rPr>
                <w:rFonts w:ascii="Arial" w:hAnsi="Arial" w:cs="Arial"/>
              </w:rPr>
              <w:t xml:space="preserve">Any </w:t>
            </w:r>
            <w:r w:rsidRPr="00285A6F">
              <w:rPr>
                <w:rFonts w:ascii="Arial" w:hAnsi="Arial" w:cs="Arial"/>
                <w:b/>
              </w:rPr>
              <w:t>additional support needs</w:t>
            </w:r>
            <w:r>
              <w:rPr>
                <w:rFonts w:ascii="Arial" w:hAnsi="Arial" w:cs="Arial"/>
              </w:rPr>
              <w:t xml:space="preserve"> that may exist</w:t>
            </w:r>
            <w:r w:rsidRPr="001533BD">
              <w:rPr>
                <w:rFonts w:ascii="Arial" w:hAnsi="Arial" w:cs="Arial"/>
              </w:rPr>
              <w:t xml:space="preserve"> have to be taken into account when making judgements in this area.  </w:t>
            </w:r>
            <w:r w:rsidRPr="00285A6F">
              <w:rPr>
                <w:rFonts w:ascii="Arial" w:hAnsi="Arial" w:cs="Arial"/>
                <w:b/>
              </w:rPr>
              <w:t>Assessors</w:t>
            </w:r>
            <w:r w:rsidRPr="001533BD">
              <w:rPr>
                <w:rFonts w:ascii="Arial" w:hAnsi="Arial" w:cs="Arial"/>
              </w:rPr>
              <w:t xml:space="preserve"> may highlight mistakes in spelling/grammar to candidates to help their future development, however candidates can’t be penalised if </w:t>
            </w:r>
            <w:r>
              <w:rPr>
                <w:rFonts w:ascii="Arial" w:hAnsi="Arial" w:cs="Arial"/>
              </w:rPr>
              <w:t>they</w:t>
            </w:r>
            <w:r w:rsidRPr="001533BD">
              <w:rPr>
                <w:rFonts w:ascii="Arial" w:hAnsi="Arial" w:cs="Arial"/>
              </w:rPr>
              <w:t xml:space="preserve"> have met the standard for the PI(s)/Knowledge/</w:t>
            </w:r>
            <w:r>
              <w:rPr>
                <w:rFonts w:ascii="Arial" w:hAnsi="Arial" w:cs="Arial"/>
              </w:rPr>
              <w:t>Unit</w:t>
            </w:r>
            <w:r w:rsidRPr="001533BD">
              <w:rPr>
                <w:rFonts w:ascii="Arial" w:hAnsi="Arial" w:cs="Arial"/>
              </w:rPr>
              <w:t xml:space="preserve"> concerned but </w:t>
            </w:r>
            <w:r>
              <w:rPr>
                <w:rFonts w:ascii="Arial" w:hAnsi="Arial" w:cs="Arial"/>
              </w:rPr>
              <w:t>there are</w:t>
            </w:r>
            <w:r w:rsidRPr="001533BD">
              <w:rPr>
                <w:rFonts w:ascii="Arial" w:hAnsi="Arial" w:cs="Arial"/>
              </w:rPr>
              <w:t xml:space="preserve"> some </w:t>
            </w:r>
            <w:r>
              <w:rPr>
                <w:rFonts w:ascii="Arial" w:hAnsi="Arial" w:cs="Arial"/>
              </w:rPr>
              <w:t xml:space="preserve">spelling and/or grammatical </w:t>
            </w:r>
            <w:r w:rsidRPr="001533BD">
              <w:rPr>
                <w:rFonts w:ascii="Arial" w:hAnsi="Arial" w:cs="Arial"/>
              </w:rPr>
              <w:t>errors.</w:t>
            </w:r>
          </w:p>
        </w:tc>
      </w:tr>
    </w:tbl>
    <w:p w:rsidR="00266881" w:rsidRDefault="00266881">
      <w:pPr>
        <w:spacing w:after="0" w:line="240" w:lineRule="auto"/>
        <w:rPr>
          <w:rFonts w:ascii="Arial" w:hAnsi="Arial" w:cs="Arial"/>
          <w:b/>
          <w:bCs/>
        </w:rPr>
      </w:pPr>
      <w:r>
        <w:rPr>
          <w:rFonts w:ascii="Arial" w:hAnsi="Arial" w:cs="Arial"/>
          <w:b/>
          <w:bCs/>
        </w:rPr>
        <w:br w:type="page"/>
      </w:r>
    </w:p>
    <w:tbl>
      <w:tblPr>
        <w:tblStyle w:val="TableGrid"/>
        <w:tblW w:w="10065" w:type="dxa"/>
        <w:tblInd w:w="-459" w:type="dxa"/>
        <w:tblLook w:val="04A0" w:firstRow="1" w:lastRow="0" w:firstColumn="1" w:lastColumn="0" w:noHBand="0" w:noVBand="1"/>
      </w:tblPr>
      <w:tblGrid>
        <w:gridCol w:w="10065"/>
      </w:tblGrid>
      <w:tr w:rsidR="002B4D94" w:rsidTr="002B4D94">
        <w:tc>
          <w:tcPr>
            <w:tcW w:w="10065" w:type="dxa"/>
            <w:shd w:val="clear" w:color="auto" w:fill="D9D9D9" w:themeFill="background1" w:themeFillShade="D9"/>
          </w:tcPr>
          <w:p w:rsidR="002B4D94" w:rsidRPr="00173833" w:rsidRDefault="002B4D94" w:rsidP="002D4900">
            <w:pPr>
              <w:rPr>
                <w:rFonts w:ascii="Arial" w:hAnsi="Arial" w:cs="Arial"/>
                <w:b/>
                <w:bCs/>
              </w:rPr>
            </w:pPr>
            <w:r>
              <w:rPr>
                <w:rFonts w:ascii="Arial" w:hAnsi="Arial" w:cs="Arial"/>
                <w:b/>
                <w:bCs/>
              </w:rPr>
              <w:lastRenderedPageBreak/>
              <w:t>Why is it good practice to collect evidence for the Optional Units first and then the Mandatory Units?</w:t>
            </w:r>
          </w:p>
        </w:tc>
      </w:tr>
      <w:tr w:rsidR="002B4D94" w:rsidTr="002B4D94">
        <w:tc>
          <w:tcPr>
            <w:tcW w:w="10065" w:type="dxa"/>
          </w:tcPr>
          <w:p w:rsidR="002B4D94" w:rsidRDefault="002B4D94" w:rsidP="002D4900">
            <w:pPr>
              <w:pStyle w:val="ListParagraph"/>
              <w:ind w:left="0"/>
              <w:rPr>
                <w:rFonts w:ascii="Arial" w:hAnsi="Arial" w:cs="Arial"/>
                <w:color w:val="FF0000"/>
                <w:sz w:val="2"/>
                <w:szCs w:val="2"/>
              </w:rPr>
            </w:pPr>
          </w:p>
          <w:p w:rsidR="002B4D94" w:rsidRDefault="002B4D94" w:rsidP="002D4900">
            <w:pPr>
              <w:rPr>
                <w:rFonts w:ascii="Arial" w:hAnsi="Arial" w:cs="Arial"/>
              </w:rPr>
            </w:pPr>
            <w:r>
              <w:rPr>
                <w:rFonts w:ascii="Arial" w:hAnsi="Arial" w:cs="Arial"/>
              </w:rPr>
              <w:t xml:space="preserve">The </w:t>
            </w:r>
            <w:r w:rsidRPr="003C3AC8">
              <w:rPr>
                <w:rFonts w:ascii="Arial" w:hAnsi="Arial" w:cs="Arial"/>
                <w:b/>
              </w:rPr>
              <w:t>Mandatory Units</w:t>
            </w:r>
            <w:r>
              <w:rPr>
                <w:rFonts w:ascii="Arial" w:hAnsi="Arial" w:cs="Arial"/>
              </w:rPr>
              <w:t xml:space="preserve"> cover</w:t>
            </w:r>
            <w:r w:rsidRPr="007F5A7F">
              <w:rPr>
                <w:rFonts w:ascii="Arial" w:hAnsi="Arial" w:cs="Arial"/>
              </w:rPr>
              <w:t xml:space="preserve"> </w:t>
            </w:r>
            <w:r w:rsidRPr="003C3AC8">
              <w:rPr>
                <w:rFonts w:ascii="Arial" w:hAnsi="Arial" w:cs="Arial"/>
                <w:b/>
              </w:rPr>
              <w:t>generic competences</w:t>
            </w:r>
            <w:r w:rsidRPr="007F5A7F">
              <w:rPr>
                <w:rFonts w:ascii="Arial" w:hAnsi="Arial" w:cs="Arial"/>
              </w:rPr>
              <w:t xml:space="preserve"> (e.g. communication, wo</w:t>
            </w:r>
            <w:r>
              <w:rPr>
                <w:rFonts w:ascii="Arial" w:hAnsi="Arial" w:cs="Arial"/>
              </w:rPr>
              <w:t xml:space="preserve">rking in a business environment, prioritising work, meeting deadlines </w:t>
            </w:r>
            <w:r w:rsidRPr="007F5A7F">
              <w:rPr>
                <w:rFonts w:ascii="Arial" w:hAnsi="Arial" w:cs="Arial"/>
              </w:rPr>
              <w:t>etc</w:t>
            </w:r>
            <w:r>
              <w:rPr>
                <w:rFonts w:ascii="Arial" w:hAnsi="Arial" w:cs="Arial"/>
              </w:rPr>
              <w:t>.</w:t>
            </w:r>
            <w:r w:rsidRPr="007F5A7F">
              <w:rPr>
                <w:rFonts w:ascii="Arial" w:hAnsi="Arial" w:cs="Arial"/>
              </w:rPr>
              <w:t>)</w:t>
            </w:r>
            <w:r>
              <w:rPr>
                <w:rFonts w:ascii="Arial" w:hAnsi="Arial" w:cs="Arial"/>
              </w:rPr>
              <w:t xml:space="preserve">. The </w:t>
            </w:r>
            <w:r w:rsidRPr="003C3AC8">
              <w:rPr>
                <w:rFonts w:ascii="Arial" w:hAnsi="Arial" w:cs="Arial"/>
                <w:b/>
              </w:rPr>
              <w:t>Optional Units</w:t>
            </w:r>
            <w:r>
              <w:rPr>
                <w:rFonts w:ascii="Arial" w:hAnsi="Arial" w:cs="Arial"/>
              </w:rPr>
              <w:t xml:space="preserve"> involve activities that are related to </w:t>
            </w:r>
            <w:r w:rsidRPr="00A1688B">
              <w:rPr>
                <w:rFonts w:ascii="Arial" w:hAnsi="Arial" w:cs="Arial"/>
                <w:b/>
              </w:rPr>
              <w:t xml:space="preserve">specific </w:t>
            </w:r>
            <w:r w:rsidRPr="00A1688B">
              <w:rPr>
                <w:rFonts w:ascii="Arial" w:hAnsi="Arial" w:cs="Arial"/>
              </w:rPr>
              <w:t>tasks</w:t>
            </w:r>
            <w:r>
              <w:rPr>
                <w:rFonts w:ascii="Arial" w:hAnsi="Arial" w:cs="Arial"/>
              </w:rPr>
              <w:t xml:space="preserve"> and </w:t>
            </w:r>
            <w:r w:rsidRPr="00A1688B">
              <w:rPr>
                <w:rFonts w:ascii="Arial" w:hAnsi="Arial" w:cs="Arial"/>
                <w:b/>
              </w:rPr>
              <w:t>competences</w:t>
            </w:r>
            <w:r>
              <w:rPr>
                <w:rFonts w:ascii="Arial" w:hAnsi="Arial" w:cs="Arial"/>
              </w:rPr>
              <w:t xml:space="preserve"> and therefore provide </w:t>
            </w:r>
            <w:r w:rsidR="00A1688B">
              <w:rPr>
                <w:rFonts w:ascii="Arial" w:hAnsi="Arial" w:cs="Arial"/>
              </w:rPr>
              <w:t>the</w:t>
            </w:r>
            <w:r>
              <w:rPr>
                <w:rFonts w:ascii="Arial" w:hAnsi="Arial" w:cs="Arial"/>
              </w:rPr>
              <w:t xml:space="preserve"> </w:t>
            </w:r>
            <w:r w:rsidRPr="00A1688B">
              <w:rPr>
                <w:rFonts w:ascii="Arial" w:hAnsi="Arial" w:cs="Arial"/>
                <w:b/>
              </w:rPr>
              <w:t>context</w:t>
            </w:r>
            <w:r>
              <w:rPr>
                <w:rFonts w:ascii="Arial" w:hAnsi="Arial" w:cs="Arial"/>
              </w:rPr>
              <w:t xml:space="preserve"> for these generic competences to be demonstrated. As a result, </w:t>
            </w:r>
            <w:r w:rsidRPr="007F5A7F">
              <w:rPr>
                <w:rFonts w:ascii="Arial" w:hAnsi="Arial" w:cs="Arial"/>
              </w:rPr>
              <w:t xml:space="preserve">most activities carried out for </w:t>
            </w:r>
            <w:r>
              <w:rPr>
                <w:rFonts w:ascii="Arial" w:hAnsi="Arial" w:cs="Arial"/>
              </w:rPr>
              <w:t>O</w:t>
            </w:r>
            <w:r w:rsidRPr="007F5A7F">
              <w:rPr>
                <w:rFonts w:ascii="Arial" w:hAnsi="Arial" w:cs="Arial"/>
              </w:rPr>
              <w:t xml:space="preserve">ptional </w:t>
            </w:r>
            <w:r>
              <w:rPr>
                <w:rFonts w:ascii="Arial" w:hAnsi="Arial" w:cs="Arial"/>
              </w:rPr>
              <w:t>Unit</w:t>
            </w:r>
            <w:r w:rsidRPr="007F5A7F">
              <w:rPr>
                <w:rFonts w:ascii="Arial" w:hAnsi="Arial" w:cs="Arial"/>
              </w:rPr>
              <w:t xml:space="preserve">s </w:t>
            </w:r>
            <w:r w:rsidRPr="00A1688B">
              <w:rPr>
                <w:rFonts w:ascii="Arial" w:hAnsi="Arial" w:cs="Arial"/>
                <w:b/>
              </w:rPr>
              <w:t>naturally generate evidence</w:t>
            </w:r>
            <w:r>
              <w:rPr>
                <w:rFonts w:ascii="Arial" w:hAnsi="Arial" w:cs="Arial"/>
              </w:rPr>
              <w:t xml:space="preserve"> of the generic competences </w:t>
            </w:r>
            <w:r w:rsidR="00A1688B">
              <w:rPr>
                <w:rFonts w:ascii="Arial" w:hAnsi="Arial" w:cs="Arial"/>
              </w:rPr>
              <w:t>in</w:t>
            </w:r>
            <w:r>
              <w:rPr>
                <w:rFonts w:ascii="Arial" w:hAnsi="Arial" w:cs="Arial"/>
              </w:rPr>
              <w:t xml:space="preserve"> the</w:t>
            </w:r>
            <w:r w:rsidRPr="007F5A7F">
              <w:rPr>
                <w:rFonts w:ascii="Arial" w:hAnsi="Arial" w:cs="Arial"/>
              </w:rPr>
              <w:t xml:space="preserve"> </w:t>
            </w:r>
            <w:r>
              <w:rPr>
                <w:rFonts w:ascii="Arial" w:hAnsi="Arial" w:cs="Arial"/>
              </w:rPr>
              <w:t>M</w:t>
            </w:r>
            <w:r w:rsidRPr="007F5A7F">
              <w:rPr>
                <w:rFonts w:ascii="Arial" w:hAnsi="Arial" w:cs="Arial"/>
              </w:rPr>
              <w:t xml:space="preserve">andatory </w:t>
            </w:r>
            <w:r>
              <w:rPr>
                <w:rFonts w:ascii="Arial" w:hAnsi="Arial" w:cs="Arial"/>
              </w:rPr>
              <w:t>Unit</w:t>
            </w:r>
            <w:r w:rsidRPr="007F5A7F">
              <w:rPr>
                <w:rFonts w:ascii="Arial" w:hAnsi="Arial" w:cs="Arial"/>
              </w:rPr>
              <w:t>s</w:t>
            </w:r>
            <w:r>
              <w:rPr>
                <w:rFonts w:ascii="Arial" w:hAnsi="Arial" w:cs="Arial"/>
              </w:rPr>
              <w:t xml:space="preserve"> (e.g. producing a document to a deadline).</w:t>
            </w:r>
          </w:p>
          <w:p w:rsidR="002B4D94" w:rsidRPr="007F5A7F" w:rsidRDefault="002B4D94" w:rsidP="002D4900">
            <w:pPr>
              <w:rPr>
                <w:rFonts w:ascii="Arial" w:hAnsi="Arial" w:cs="Arial"/>
                <w:b/>
                <w:bCs/>
              </w:rPr>
            </w:pPr>
            <w:r>
              <w:rPr>
                <w:rFonts w:ascii="Arial" w:hAnsi="Arial" w:cs="Arial"/>
              </w:rPr>
              <w:t>This means that</w:t>
            </w:r>
            <w:r w:rsidRPr="007F5A7F">
              <w:rPr>
                <w:rFonts w:ascii="Arial" w:hAnsi="Arial" w:cs="Arial"/>
              </w:rPr>
              <w:t xml:space="preserve"> if </w:t>
            </w:r>
            <w:r>
              <w:rPr>
                <w:rFonts w:ascii="Arial" w:hAnsi="Arial" w:cs="Arial"/>
              </w:rPr>
              <w:t>a candidate where to begin their SVQ</w:t>
            </w:r>
            <w:r w:rsidRPr="007F5A7F">
              <w:rPr>
                <w:rFonts w:ascii="Arial" w:hAnsi="Arial" w:cs="Arial"/>
              </w:rPr>
              <w:t xml:space="preserve"> </w:t>
            </w:r>
            <w:r>
              <w:rPr>
                <w:rFonts w:ascii="Arial" w:hAnsi="Arial" w:cs="Arial"/>
              </w:rPr>
              <w:t>by gathering evidence for the</w:t>
            </w:r>
            <w:r w:rsidRPr="007F5A7F">
              <w:rPr>
                <w:rFonts w:ascii="Arial" w:hAnsi="Arial" w:cs="Arial"/>
              </w:rPr>
              <w:t xml:space="preserve"> </w:t>
            </w:r>
            <w:r>
              <w:rPr>
                <w:rFonts w:ascii="Arial" w:hAnsi="Arial" w:cs="Arial"/>
              </w:rPr>
              <w:t>M</w:t>
            </w:r>
            <w:r w:rsidRPr="007F5A7F">
              <w:rPr>
                <w:rFonts w:ascii="Arial" w:hAnsi="Arial" w:cs="Arial"/>
              </w:rPr>
              <w:t xml:space="preserve">andatory </w:t>
            </w:r>
            <w:r>
              <w:rPr>
                <w:rFonts w:ascii="Arial" w:hAnsi="Arial" w:cs="Arial"/>
              </w:rPr>
              <w:t>Unit</w:t>
            </w:r>
            <w:r w:rsidRPr="007F5A7F">
              <w:rPr>
                <w:rFonts w:ascii="Arial" w:hAnsi="Arial" w:cs="Arial"/>
              </w:rPr>
              <w:t xml:space="preserve">s it is </w:t>
            </w:r>
            <w:r>
              <w:rPr>
                <w:rFonts w:ascii="Arial" w:hAnsi="Arial" w:cs="Arial"/>
              </w:rPr>
              <w:t>very likely</w:t>
            </w:r>
            <w:r w:rsidRPr="007F5A7F">
              <w:rPr>
                <w:rFonts w:ascii="Arial" w:hAnsi="Arial" w:cs="Arial"/>
              </w:rPr>
              <w:t xml:space="preserve"> they will duplicate evidence when working on </w:t>
            </w:r>
            <w:r>
              <w:rPr>
                <w:rFonts w:ascii="Arial" w:hAnsi="Arial" w:cs="Arial"/>
              </w:rPr>
              <w:t>O</w:t>
            </w:r>
            <w:r w:rsidRPr="007F5A7F">
              <w:rPr>
                <w:rFonts w:ascii="Arial" w:hAnsi="Arial" w:cs="Arial"/>
              </w:rPr>
              <w:t xml:space="preserve">ptional </w:t>
            </w:r>
            <w:r>
              <w:rPr>
                <w:rFonts w:ascii="Arial" w:hAnsi="Arial" w:cs="Arial"/>
              </w:rPr>
              <w:t>Unit</w:t>
            </w:r>
            <w:r w:rsidRPr="007F5A7F">
              <w:rPr>
                <w:rFonts w:ascii="Arial" w:hAnsi="Arial" w:cs="Arial"/>
              </w:rPr>
              <w:t>s later</w:t>
            </w:r>
            <w:r>
              <w:rPr>
                <w:rFonts w:ascii="Arial" w:hAnsi="Arial" w:cs="Arial"/>
              </w:rPr>
              <w:t>. This will result in over-assessment which is more time consuming, resource intensive and costly for all concerned.</w:t>
            </w:r>
          </w:p>
        </w:tc>
      </w:tr>
      <w:tr w:rsidR="002B4D94" w:rsidTr="002B4D94">
        <w:tc>
          <w:tcPr>
            <w:tcW w:w="10065" w:type="dxa"/>
            <w:shd w:val="clear" w:color="auto" w:fill="D9D9D9" w:themeFill="background1" w:themeFillShade="D9"/>
          </w:tcPr>
          <w:p w:rsidR="002B4D94" w:rsidRPr="00173833" w:rsidRDefault="002B4D94" w:rsidP="002D4900">
            <w:pPr>
              <w:rPr>
                <w:rFonts w:ascii="Arial" w:hAnsi="Arial" w:cs="Arial"/>
                <w:b/>
                <w:bCs/>
              </w:rPr>
            </w:pPr>
            <w:r>
              <w:rPr>
                <w:rFonts w:ascii="Arial" w:hAnsi="Arial" w:cs="Arial"/>
                <w:b/>
                <w:bCs/>
              </w:rPr>
              <w:t>Is it possible to cross reference evidence from SCQF Level 5 Units Optional Units into SCQF Level 6 Mandatory Units?</w:t>
            </w:r>
          </w:p>
        </w:tc>
      </w:tr>
      <w:tr w:rsidR="002B4D94" w:rsidTr="002B4D94">
        <w:tc>
          <w:tcPr>
            <w:tcW w:w="10065" w:type="dxa"/>
          </w:tcPr>
          <w:p w:rsidR="002B4D94" w:rsidRPr="0050095D" w:rsidRDefault="002B4D94" w:rsidP="002D4900">
            <w:pPr>
              <w:pStyle w:val="ListParagraph"/>
              <w:ind w:left="0"/>
              <w:rPr>
                <w:rFonts w:ascii="Arial" w:hAnsi="Arial" w:cs="Arial"/>
                <w:color w:val="000000" w:themeColor="text1"/>
              </w:rPr>
            </w:pPr>
            <w:r>
              <w:rPr>
                <w:rFonts w:ascii="Arial" w:hAnsi="Arial" w:cs="Arial"/>
                <w:color w:val="FF0000"/>
              </w:rPr>
              <w:br/>
            </w:r>
            <w:r>
              <w:rPr>
                <w:rFonts w:ascii="Arial" w:hAnsi="Arial" w:cs="Arial"/>
              </w:rPr>
              <w:t xml:space="preserve">Evidence for </w:t>
            </w:r>
            <w:r w:rsidRPr="00114D82">
              <w:rPr>
                <w:rFonts w:ascii="Arial" w:hAnsi="Arial" w:cs="Arial"/>
                <w:b/>
              </w:rPr>
              <w:t>mandatory units</w:t>
            </w:r>
            <w:r>
              <w:rPr>
                <w:rFonts w:ascii="Arial" w:hAnsi="Arial" w:cs="Arial"/>
              </w:rPr>
              <w:t xml:space="preserve"> must meet the performance and knowledge requirements at </w:t>
            </w:r>
            <w:r w:rsidRPr="0050095D">
              <w:rPr>
                <w:rFonts w:ascii="Arial" w:hAnsi="Arial" w:cs="Arial"/>
                <w:b/>
              </w:rPr>
              <w:t>SCQF Level 6</w:t>
            </w:r>
            <w:r>
              <w:rPr>
                <w:rFonts w:ascii="Arial" w:hAnsi="Arial" w:cs="Arial"/>
              </w:rPr>
              <w:t xml:space="preserve">. </w:t>
            </w:r>
            <w:r>
              <w:rPr>
                <w:rFonts w:ascii="Arial" w:hAnsi="Arial" w:cs="Arial"/>
                <w:color w:val="000000" w:themeColor="text1"/>
              </w:rPr>
              <w:t xml:space="preserve">The level of a unit is determined by its content, however the </w:t>
            </w:r>
            <w:r w:rsidRPr="0050095D">
              <w:rPr>
                <w:rFonts w:ascii="Arial" w:hAnsi="Arial" w:cs="Arial"/>
                <w:b/>
                <w:color w:val="000000" w:themeColor="text1"/>
              </w:rPr>
              <w:t>level of demand</w:t>
            </w:r>
            <w:r>
              <w:rPr>
                <w:rFonts w:ascii="Arial" w:hAnsi="Arial" w:cs="Arial"/>
                <w:color w:val="000000" w:themeColor="text1"/>
              </w:rPr>
              <w:t xml:space="preserve"> across all PIs and Knowledge may not be completely uniform. </w:t>
            </w:r>
          </w:p>
          <w:p w:rsidR="002B4D94" w:rsidRPr="003E0C35" w:rsidRDefault="002B4D94" w:rsidP="002D4900">
            <w:pPr>
              <w:pStyle w:val="ListParagraph"/>
              <w:ind w:left="0"/>
              <w:rPr>
                <w:rFonts w:ascii="Arial" w:hAnsi="Arial" w:cs="Arial"/>
                <w:color w:val="FF0000"/>
                <w:sz w:val="2"/>
                <w:szCs w:val="2"/>
              </w:rPr>
            </w:pPr>
            <w:r>
              <w:rPr>
                <w:rFonts w:ascii="Arial" w:hAnsi="Arial" w:cs="Arial"/>
              </w:rPr>
              <w:t xml:space="preserve">Some PIs and Knowledge within </w:t>
            </w:r>
            <w:r w:rsidRPr="00A31BBB">
              <w:rPr>
                <w:rFonts w:ascii="Arial" w:hAnsi="Arial" w:cs="Arial"/>
                <w:b/>
              </w:rPr>
              <w:t xml:space="preserve">SCQF </w:t>
            </w:r>
            <w:r>
              <w:rPr>
                <w:rFonts w:ascii="Arial" w:hAnsi="Arial" w:cs="Arial"/>
                <w:b/>
              </w:rPr>
              <w:t xml:space="preserve">Level </w:t>
            </w:r>
            <w:r w:rsidRPr="00A31BBB">
              <w:rPr>
                <w:rFonts w:ascii="Arial" w:hAnsi="Arial" w:cs="Arial"/>
                <w:b/>
              </w:rPr>
              <w:t>5</w:t>
            </w:r>
            <w:r w:rsidRPr="00A6528B">
              <w:rPr>
                <w:rFonts w:ascii="Arial" w:hAnsi="Arial" w:cs="Arial"/>
              </w:rPr>
              <w:t xml:space="preserve"> </w:t>
            </w:r>
            <w:r>
              <w:rPr>
                <w:rFonts w:ascii="Arial" w:hAnsi="Arial" w:cs="Arial"/>
              </w:rPr>
              <w:t>Units may generate</w:t>
            </w:r>
            <w:r w:rsidRPr="00A6528B">
              <w:rPr>
                <w:rFonts w:ascii="Arial" w:hAnsi="Arial" w:cs="Arial"/>
              </w:rPr>
              <w:t xml:space="preserve"> evidence</w:t>
            </w:r>
            <w:r>
              <w:rPr>
                <w:rFonts w:ascii="Arial" w:hAnsi="Arial" w:cs="Arial"/>
              </w:rPr>
              <w:t xml:space="preserve"> that holds up well in the context of SCQF 6 mandatory units. Some PIs and Knowledge will map better than others, some not at all – </w:t>
            </w:r>
            <w:r w:rsidRPr="00A6528B">
              <w:rPr>
                <w:rFonts w:ascii="Arial" w:hAnsi="Arial" w:cs="Arial"/>
              </w:rPr>
              <w:t xml:space="preserve">it </w:t>
            </w:r>
            <w:r>
              <w:rPr>
                <w:rFonts w:ascii="Arial" w:hAnsi="Arial" w:cs="Arial"/>
              </w:rPr>
              <w:t xml:space="preserve">comes down to </w:t>
            </w:r>
            <w:r>
              <w:rPr>
                <w:rFonts w:ascii="Arial" w:hAnsi="Arial" w:cs="Arial"/>
                <w:b/>
              </w:rPr>
              <w:t>professional</w:t>
            </w:r>
            <w:r w:rsidRPr="00A6528B">
              <w:rPr>
                <w:rFonts w:ascii="Arial" w:hAnsi="Arial" w:cs="Arial"/>
              </w:rPr>
              <w:t xml:space="preserve"> </w:t>
            </w:r>
            <w:r>
              <w:rPr>
                <w:rFonts w:ascii="Arial" w:hAnsi="Arial" w:cs="Arial"/>
                <w:b/>
              </w:rPr>
              <w:t>judgement</w:t>
            </w:r>
            <w:r>
              <w:rPr>
                <w:rFonts w:ascii="Arial" w:hAnsi="Arial" w:cs="Arial"/>
              </w:rPr>
              <w:t xml:space="preserve"> against the relevant criteria.</w:t>
            </w:r>
          </w:p>
        </w:tc>
      </w:tr>
      <w:tr w:rsidR="002B4D94" w:rsidTr="002B4D94">
        <w:tc>
          <w:tcPr>
            <w:tcW w:w="10065" w:type="dxa"/>
            <w:shd w:val="clear" w:color="auto" w:fill="D9D9D9" w:themeFill="background1" w:themeFillShade="D9"/>
          </w:tcPr>
          <w:p w:rsidR="002B4D94" w:rsidRPr="00173833" w:rsidRDefault="002B4D94" w:rsidP="002D4900">
            <w:pPr>
              <w:rPr>
                <w:rFonts w:ascii="Arial" w:hAnsi="Arial" w:cs="Arial"/>
                <w:b/>
                <w:bCs/>
              </w:rPr>
            </w:pPr>
            <w:r>
              <w:rPr>
                <w:rFonts w:ascii="Arial" w:hAnsi="Arial" w:cs="Arial"/>
                <w:b/>
                <w:bCs/>
              </w:rPr>
              <w:t>The SCQF 5/ SCQF 6 Business &amp; Administration frameworks have an overlap of common Units. Is there straight transfer if a candidate progresses?</w:t>
            </w:r>
          </w:p>
        </w:tc>
      </w:tr>
      <w:tr w:rsidR="002B4D94" w:rsidTr="002B4D94">
        <w:tc>
          <w:tcPr>
            <w:tcW w:w="10065" w:type="dxa"/>
          </w:tcPr>
          <w:p w:rsidR="002B4D94" w:rsidRDefault="002B4D94" w:rsidP="002D4900">
            <w:pPr>
              <w:pStyle w:val="ListParagraph"/>
              <w:ind w:left="0"/>
              <w:rPr>
                <w:rFonts w:ascii="Arial" w:hAnsi="Arial" w:cs="Arial"/>
              </w:rPr>
            </w:pPr>
            <w:r>
              <w:rPr>
                <w:rFonts w:ascii="Arial" w:hAnsi="Arial" w:cs="Arial"/>
              </w:rPr>
              <w:br/>
            </w:r>
            <w:r w:rsidRPr="005712D3">
              <w:rPr>
                <w:rFonts w:ascii="Arial" w:hAnsi="Arial" w:cs="Arial"/>
              </w:rPr>
              <w:t xml:space="preserve">If a candidate </w:t>
            </w:r>
            <w:r>
              <w:rPr>
                <w:rFonts w:ascii="Arial" w:hAnsi="Arial" w:cs="Arial"/>
              </w:rPr>
              <w:t xml:space="preserve">has completed and been </w:t>
            </w:r>
            <w:r w:rsidRPr="004166B4">
              <w:rPr>
                <w:rFonts w:ascii="Arial" w:hAnsi="Arial" w:cs="Arial"/>
                <w:b/>
              </w:rPr>
              <w:t>resulted</w:t>
            </w:r>
            <w:r>
              <w:rPr>
                <w:rFonts w:ascii="Arial" w:hAnsi="Arial" w:cs="Arial"/>
              </w:rPr>
              <w:t xml:space="preserve"> for an </w:t>
            </w:r>
            <w:r w:rsidRPr="004166B4">
              <w:rPr>
                <w:rFonts w:ascii="Arial" w:hAnsi="Arial" w:cs="Arial"/>
                <w:b/>
              </w:rPr>
              <w:t>SCQF level 5 Unit</w:t>
            </w:r>
            <w:r>
              <w:rPr>
                <w:rFonts w:ascii="Arial" w:hAnsi="Arial" w:cs="Arial"/>
                <w:b/>
              </w:rPr>
              <w:t xml:space="preserve"> </w:t>
            </w:r>
            <w:r>
              <w:rPr>
                <w:rFonts w:ascii="Arial" w:hAnsi="Arial" w:cs="Arial"/>
              </w:rPr>
              <w:t>(or any SQA unit)</w:t>
            </w:r>
            <w:r w:rsidRPr="005712D3">
              <w:rPr>
                <w:rFonts w:ascii="Arial" w:hAnsi="Arial" w:cs="Arial"/>
              </w:rPr>
              <w:t xml:space="preserve"> </w:t>
            </w:r>
            <w:r>
              <w:rPr>
                <w:rFonts w:ascii="Arial" w:hAnsi="Arial" w:cs="Arial"/>
              </w:rPr>
              <w:t xml:space="preserve">as part of a prior SQA qualification, this achievement stays on the candidate’s SQA record and contributes to any </w:t>
            </w:r>
            <w:r w:rsidRPr="004166B4">
              <w:rPr>
                <w:rFonts w:ascii="Arial" w:hAnsi="Arial" w:cs="Arial"/>
                <w:b/>
              </w:rPr>
              <w:t>SQA Group Award</w:t>
            </w:r>
            <w:r>
              <w:rPr>
                <w:rFonts w:ascii="Arial" w:hAnsi="Arial" w:cs="Arial"/>
              </w:rPr>
              <w:t xml:space="preserve"> he or she is entered for in the future.</w:t>
            </w:r>
          </w:p>
          <w:p w:rsidR="002B4D94" w:rsidRPr="006E6AF6" w:rsidRDefault="002B4D94" w:rsidP="002D4900">
            <w:pPr>
              <w:pStyle w:val="ListParagraph"/>
              <w:ind w:left="0"/>
              <w:rPr>
                <w:rFonts w:ascii="Arial" w:hAnsi="Arial" w:cs="Arial"/>
              </w:rPr>
            </w:pPr>
            <w:r>
              <w:rPr>
                <w:rFonts w:ascii="Arial" w:hAnsi="Arial" w:cs="Arial"/>
              </w:rPr>
              <w:t xml:space="preserve">This means that any SCQF level 5 unit </w:t>
            </w:r>
            <w:r w:rsidRPr="00E56587">
              <w:rPr>
                <w:rFonts w:ascii="Arial" w:hAnsi="Arial" w:cs="Arial"/>
                <w:b/>
              </w:rPr>
              <w:t>forming part of the optional section</w:t>
            </w:r>
            <w:r>
              <w:rPr>
                <w:rFonts w:ascii="Arial" w:hAnsi="Arial" w:cs="Arial"/>
              </w:rPr>
              <w:t xml:space="preserve"> of the </w:t>
            </w:r>
            <w:r>
              <w:rPr>
                <w:rFonts w:ascii="Arial" w:hAnsi="Arial" w:cs="Arial"/>
                <w:b/>
              </w:rPr>
              <w:t xml:space="preserve">SCQF Level 6 SVQ </w:t>
            </w:r>
            <w:r w:rsidRPr="005712D3">
              <w:rPr>
                <w:rFonts w:ascii="Arial" w:hAnsi="Arial" w:cs="Arial"/>
              </w:rPr>
              <w:t xml:space="preserve">will contribute automatically to </w:t>
            </w:r>
            <w:r>
              <w:rPr>
                <w:rFonts w:ascii="Arial" w:hAnsi="Arial" w:cs="Arial"/>
              </w:rPr>
              <w:t xml:space="preserve">the </w:t>
            </w:r>
            <w:r w:rsidRPr="000C5995">
              <w:rPr>
                <w:rFonts w:ascii="Arial" w:hAnsi="Arial" w:cs="Arial"/>
                <w:b/>
              </w:rPr>
              <w:t>Group Award</w:t>
            </w:r>
            <w:r>
              <w:rPr>
                <w:rFonts w:ascii="Arial" w:hAnsi="Arial" w:cs="Arial"/>
              </w:rPr>
              <w:t xml:space="preserve"> if subsequently entered for it</w:t>
            </w:r>
            <w:r w:rsidRPr="005712D3">
              <w:rPr>
                <w:rFonts w:ascii="Arial" w:hAnsi="Arial" w:cs="Arial"/>
              </w:rPr>
              <w:t xml:space="preserve">. </w:t>
            </w:r>
            <w:r>
              <w:rPr>
                <w:rFonts w:ascii="Arial" w:hAnsi="Arial" w:cs="Arial"/>
              </w:rPr>
              <w:t xml:space="preserve">The SCQF Level 6 SVQ framework allows a maximum of </w:t>
            </w:r>
            <w:r>
              <w:rPr>
                <w:rFonts w:ascii="Arial" w:hAnsi="Arial" w:cs="Arial"/>
                <w:b/>
              </w:rPr>
              <w:t xml:space="preserve">two </w:t>
            </w:r>
            <w:r>
              <w:rPr>
                <w:rFonts w:ascii="Arial" w:hAnsi="Arial" w:cs="Arial"/>
              </w:rPr>
              <w:t>SCQF level 5 units to</w:t>
            </w:r>
            <w:r w:rsidR="00B9636A">
              <w:rPr>
                <w:rFonts w:ascii="Arial" w:hAnsi="Arial" w:cs="Arial"/>
              </w:rPr>
              <w:t>25</w:t>
            </w:r>
            <w:r>
              <w:rPr>
                <w:rFonts w:ascii="Arial" w:hAnsi="Arial" w:cs="Arial"/>
              </w:rPr>
              <w:t xml:space="preserve"> contribute to achievement of the Group Award in this way. Not all SCQF Level 5 units are included in the SCQF level 6 SVQ options so </w:t>
            </w:r>
            <w:r w:rsidRPr="000C5995">
              <w:rPr>
                <w:rFonts w:ascii="Arial" w:hAnsi="Arial" w:cs="Arial"/>
                <w:b/>
              </w:rPr>
              <w:t>centres should</w:t>
            </w:r>
            <w:r>
              <w:rPr>
                <w:rFonts w:ascii="Arial" w:hAnsi="Arial" w:cs="Arial"/>
              </w:rPr>
              <w:t xml:space="preserve"> </w:t>
            </w:r>
            <w:r w:rsidRPr="000C5995">
              <w:rPr>
                <w:rFonts w:ascii="Arial" w:hAnsi="Arial" w:cs="Arial"/>
                <w:b/>
              </w:rPr>
              <w:t xml:space="preserve">check this </w:t>
            </w:r>
            <w:r>
              <w:rPr>
                <w:rFonts w:ascii="Arial" w:hAnsi="Arial" w:cs="Arial"/>
                <w:b/>
              </w:rPr>
              <w:t>when</w:t>
            </w:r>
            <w:r w:rsidRPr="000C5995">
              <w:rPr>
                <w:rFonts w:ascii="Arial" w:hAnsi="Arial" w:cs="Arial"/>
                <w:b/>
              </w:rPr>
              <w:t xml:space="preserve"> selecting units</w:t>
            </w:r>
            <w:r>
              <w:rPr>
                <w:rFonts w:ascii="Arial" w:hAnsi="Arial" w:cs="Arial"/>
              </w:rPr>
              <w:t>.</w:t>
            </w:r>
          </w:p>
          <w:p w:rsidR="002B4D94" w:rsidRPr="005712D3" w:rsidRDefault="002B4D94" w:rsidP="00403984">
            <w:pPr>
              <w:pStyle w:val="ListParagraph"/>
              <w:ind w:left="0"/>
              <w:rPr>
                <w:rFonts w:ascii="Arial" w:hAnsi="Arial" w:cs="Arial"/>
              </w:rPr>
            </w:pPr>
            <w:r>
              <w:rPr>
                <w:rFonts w:ascii="Arial" w:hAnsi="Arial" w:cs="Arial"/>
              </w:rPr>
              <w:t xml:space="preserve">This is not a credit transfer process as the relevant results are already with SQA. There is no need for any further entries or results in </w:t>
            </w:r>
            <w:r w:rsidR="00403984">
              <w:rPr>
                <w:rFonts w:ascii="Arial" w:hAnsi="Arial" w:cs="Arial"/>
              </w:rPr>
              <w:t>this scenario</w:t>
            </w:r>
            <w:r>
              <w:rPr>
                <w:rFonts w:ascii="Arial" w:hAnsi="Arial" w:cs="Arial"/>
              </w:rPr>
              <w:t>.</w:t>
            </w:r>
          </w:p>
        </w:tc>
      </w:tr>
    </w:tbl>
    <w:p w:rsidR="0074579B" w:rsidRDefault="009F54F9" w:rsidP="008D5F64">
      <w:pPr>
        <w:spacing w:after="0" w:line="240" w:lineRule="auto"/>
        <w:rPr>
          <w:rFonts w:ascii="Arial" w:hAnsi="Arial" w:cs="Arial"/>
          <w:b/>
          <w:bCs/>
        </w:rPr>
      </w:pPr>
      <w:r>
        <w:rPr>
          <w:rFonts w:ascii="Arial" w:hAnsi="Arial" w:cs="Arial"/>
          <w:b/>
          <w:bCs/>
        </w:rPr>
        <w:br w:type="page"/>
      </w:r>
    </w:p>
    <w:p w:rsidR="00D402D8" w:rsidRPr="009F54F9" w:rsidRDefault="00D402D8">
      <w:pPr>
        <w:rPr>
          <w:rFonts w:ascii="Arial" w:hAnsi="Arial" w:cs="Arial"/>
          <w:color w:val="FF0000"/>
          <w:sz w:val="2"/>
          <w:szCs w:val="2"/>
        </w:rPr>
      </w:pPr>
    </w:p>
    <w:tbl>
      <w:tblPr>
        <w:tblStyle w:val="TableGrid"/>
        <w:tblW w:w="10065" w:type="dxa"/>
        <w:tblInd w:w="-459" w:type="dxa"/>
        <w:tblLook w:val="04A0" w:firstRow="1" w:lastRow="0" w:firstColumn="1" w:lastColumn="0" w:noHBand="0" w:noVBand="1"/>
      </w:tblPr>
      <w:tblGrid>
        <w:gridCol w:w="10065"/>
      </w:tblGrid>
      <w:tr w:rsidR="00A1693C" w:rsidTr="00792E1E">
        <w:tc>
          <w:tcPr>
            <w:tcW w:w="10065" w:type="dxa"/>
            <w:shd w:val="clear" w:color="auto" w:fill="D9D9D9" w:themeFill="background1" w:themeFillShade="D9"/>
          </w:tcPr>
          <w:p w:rsidR="00A1693C" w:rsidRPr="00173833" w:rsidRDefault="00A1693C" w:rsidP="002D4900">
            <w:pPr>
              <w:rPr>
                <w:rFonts w:ascii="Arial" w:hAnsi="Arial" w:cs="Arial"/>
                <w:b/>
                <w:bCs/>
              </w:rPr>
            </w:pPr>
            <w:r>
              <w:rPr>
                <w:rFonts w:ascii="Arial" w:hAnsi="Arial" w:cs="Arial"/>
                <w:b/>
                <w:bCs/>
              </w:rPr>
              <w:t>We have devised our own evidence matrix document for each Unit, do we have to use the template devised by SQA?</w:t>
            </w:r>
          </w:p>
        </w:tc>
      </w:tr>
      <w:tr w:rsidR="00A1693C" w:rsidTr="00792E1E">
        <w:tc>
          <w:tcPr>
            <w:tcW w:w="10065" w:type="dxa"/>
          </w:tcPr>
          <w:p w:rsidR="00A1693C" w:rsidRDefault="00A1693C" w:rsidP="002D4900">
            <w:pPr>
              <w:pStyle w:val="ListParagraph"/>
              <w:ind w:left="0"/>
              <w:rPr>
                <w:rFonts w:ascii="Arial" w:hAnsi="Arial" w:cs="Arial"/>
                <w:color w:val="FF0000"/>
                <w:sz w:val="2"/>
                <w:szCs w:val="2"/>
              </w:rPr>
            </w:pPr>
          </w:p>
          <w:p w:rsidR="00A1693C" w:rsidRPr="00DD5A6B" w:rsidRDefault="00A1693C" w:rsidP="002D4900">
            <w:pPr>
              <w:rPr>
                <w:rFonts w:ascii="Arial" w:hAnsi="Arial" w:cs="Arial"/>
                <w:color w:val="000000" w:themeColor="text1"/>
              </w:rPr>
            </w:pPr>
            <w:r>
              <w:rPr>
                <w:rFonts w:ascii="Arial" w:hAnsi="Arial" w:cs="Arial"/>
              </w:rPr>
              <w:t>No, t</w:t>
            </w:r>
            <w:r w:rsidRPr="00E32A37">
              <w:rPr>
                <w:rFonts w:ascii="Arial" w:hAnsi="Arial" w:cs="Arial"/>
              </w:rPr>
              <w:t xml:space="preserve">here are some </w:t>
            </w:r>
            <w:r>
              <w:rPr>
                <w:rFonts w:ascii="Arial" w:hAnsi="Arial" w:cs="Arial"/>
              </w:rPr>
              <w:t xml:space="preserve">excellent matrices in use which have been devised by centres. </w:t>
            </w:r>
            <w:r w:rsidRPr="00DD5A6B">
              <w:rPr>
                <w:rFonts w:ascii="Arial" w:hAnsi="Arial" w:cs="Arial"/>
                <w:color w:val="000000" w:themeColor="text1"/>
              </w:rPr>
              <w:t xml:space="preserve">SQA supporting documents are designed to </w:t>
            </w:r>
            <w:r>
              <w:rPr>
                <w:rFonts w:ascii="Arial" w:hAnsi="Arial" w:cs="Arial"/>
                <w:color w:val="000000" w:themeColor="text1"/>
              </w:rPr>
              <w:t>provide a resource for centres to use, or as a reference for designing their own assessment resources. Centres can amend</w:t>
            </w:r>
            <w:r w:rsidRPr="00DD5A6B">
              <w:rPr>
                <w:rFonts w:ascii="Arial" w:hAnsi="Arial" w:cs="Arial"/>
                <w:color w:val="000000" w:themeColor="text1"/>
              </w:rPr>
              <w:t xml:space="preserve"> or create their own to suit their own methods of delivery, as long as the </w:t>
            </w:r>
            <w:r>
              <w:rPr>
                <w:rFonts w:ascii="Arial" w:hAnsi="Arial" w:cs="Arial"/>
                <w:color w:val="000000" w:themeColor="text1"/>
              </w:rPr>
              <w:t>resulting assessment</w:t>
            </w:r>
            <w:r w:rsidRPr="00DD5A6B">
              <w:rPr>
                <w:rFonts w:ascii="Arial" w:hAnsi="Arial" w:cs="Arial"/>
                <w:color w:val="000000" w:themeColor="text1"/>
              </w:rPr>
              <w:t xml:space="preserve"> meets the Assessment Strategy, </w:t>
            </w:r>
            <w:r>
              <w:rPr>
                <w:rFonts w:ascii="Arial" w:hAnsi="Arial" w:cs="Arial"/>
                <w:color w:val="000000" w:themeColor="text1"/>
              </w:rPr>
              <w:t>can be authenticated</w:t>
            </w:r>
            <w:r w:rsidRPr="00DD5A6B">
              <w:rPr>
                <w:rFonts w:ascii="Arial" w:hAnsi="Arial" w:cs="Arial"/>
                <w:color w:val="000000" w:themeColor="text1"/>
              </w:rPr>
              <w:t xml:space="preserve"> and </w:t>
            </w:r>
            <w:r>
              <w:rPr>
                <w:rFonts w:ascii="Arial" w:hAnsi="Arial" w:cs="Arial"/>
                <w:color w:val="000000" w:themeColor="text1"/>
              </w:rPr>
              <w:t xml:space="preserve">is </w:t>
            </w:r>
            <w:r w:rsidRPr="00DD5A6B">
              <w:rPr>
                <w:rFonts w:ascii="Arial" w:hAnsi="Arial" w:cs="Arial"/>
                <w:color w:val="000000" w:themeColor="text1"/>
              </w:rPr>
              <w:t xml:space="preserve">supported by a robust </w:t>
            </w:r>
            <w:r>
              <w:rPr>
                <w:rFonts w:ascii="Arial" w:hAnsi="Arial" w:cs="Arial"/>
                <w:color w:val="000000" w:themeColor="text1"/>
              </w:rPr>
              <w:t>quality assurance process</w:t>
            </w:r>
            <w:r w:rsidRPr="00DD5A6B">
              <w:rPr>
                <w:rFonts w:ascii="Arial" w:hAnsi="Arial" w:cs="Arial"/>
                <w:color w:val="000000" w:themeColor="text1"/>
              </w:rPr>
              <w:t xml:space="preserve">. </w:t>
            </w:r>
          </w:p>
          <w:p w:rsidR="00A1693C" w:rsidRPr="0047436B" w:rsidRDefault="00A1693C" w:rsidP="002D4900">
            <w:pPr>
              <w:rPr>
                <w:rFonts w:ascii="Arial" w:hAnsi="Arial" w:cs="Arial"/>
                <w:color w:val="000000" w:themeColor="text1"/>
              </w:rPr>
            </w:pPr>
            <w:r w:rsidRPr="00DD5A6B">
              <w:rPr>
                <w:rFonts w:ascii="Arial" w:hAnsi="Arial" w:cs="Arial"/>
                <w:color w:val="000000" w:themeColor="text1"/>
              </w:rPr>
              <w:t xml:space="preserve">The mandatory documents </w:t>
            </w:r>
            <w:r>
              <w:rPr>
                <w:rFonts w:ascii="Arial" w:hAnsi="Arial" w:cs="Arial"/>
                <w:color w:val="000000" w:themeColor="text1"/>
              </w:rPr>
              <w:t xml:space="preserve">which cannot be altered </w:t>
            </w:r>
            <w:r w:rsidRPr="00DD5A6B">
              <w:rPr>
                <w:rFonts w:ascii="Arial" w:hAnsi="Arial" w:cs="Arial"/>
                <w:color w:val="000000" w:themeColor="text1"/>
              </w:rPr>
              <w:t xml:space="preserve">are the </w:t>
            </w:r>
            <w:r>
              <w:rPr>
                <w:rFonts w:ascii="Arial" w:hAnsi="Arial" w:cs="Arial"/>
                <w:color w:val="000000" w:themeColor="text1"/>
              </w:rPr>
              <w:t>Unit</w:t>
            </w:r>
            <w:r w:rsidRPr="00DD5A6B">
              <w:rPr>
                <w:rFonts w:ascii="Arial" w:hAnsi="Arial" w:cs="Arial"/>
                <w:color w:val="000000" w:themeColor="text1"/>
              </w:rPr>
              <w:t xml:space="preserve">s </w:t>
            </w:r>
            <w:r>
              <w:rPr>
                <w:rFonts w:ascii="Arial" w:hAnsi="Arial" w:cs="Arial"/>
                <w:color w:val="000000" w:themeColor="text1"/>
              </w:rPr>
              <w:t>(</w:t>
            </w:r>
            <w:r w:rsidRPr="00DD5A6B">
              <w:rPr>
                <w:rFonts w:ascii="Arial" w:hAnsi="Arial" w:cs="Arial"/>
                <w:color w:val="000000" w:themeColor="text1"/>
              </w:rPr>
              <w:t>based on the NOS</w:t>
            </w:r>
            <w:r>
              <w:rPr>
                <w:rFonts w:ascii="Arial" w:hAnsi="Arial" w:cs="Arial"/>
                <w:color w:val="000000" w:themeColor="text1"/>
              </w:rPr>
              <w:t>)</w:t>
            </w:r>
            <w:r w:rsidRPr="00DD5A6B">
              <w:rPr>
                <w:rFonts w:ascii="Arial" w:hAnsi="Arial" w:cs="Arial"/>
                <w:color w:val="000000" w:themeColor="text1"/>
              </w:rPr>
              <w:t xml:space="preserve">, the Assessment Strategy and Candidate Disclaimer form. These are available on SQA website </w:t>
            </w:r>
            <w:r>
              <w:rPr>
                <w:rFonts w:ascii="Arial" w:hAnsi="Arial" w:cs="Arial"/>
                <w:color w:val="000000" w:themeColor="text1"/>
              </w:rPr>
              <w:t xml:space="preserve">– </w:t>
            </w:r>
            <w:hyperlink r:id="rId11" w:history="1">
              <w:r w:rsidRPr="0047436B">
                <w:rPr>
                  <w:rStyle w:val="Hyperlink"/>
                  <w:rFonts w:ascii="Arial" w:hAnsi="Arial" w:cs="Arial"/>
                </w:rPr>
                <w:t>http://www.sqa.org.uk/sqa/45620.html</w:t>
              </w:r>
            </w:hyperlink>
          </w:p>
        </w:tc>
      </w:tr>
      <w:tr w:rsidR="00792E1E" w:rsidTr="00792E1E">
        <w:tc>
          <w:tcPr>
            <w:tcW w:w="10065" w:type="dxa"/>
            <w:shd w:val="clear" w:color="auto" w:fill="D9D9D9" w:themeFill="background1" w:themeFillShade="D9"/>
          </w:tcPr>
          <w:p w:rsidR="00792E1E" w:rsidRPr="0021398A" w:rsidRDefault="00792E1E" w:rsidP="002D4900">
            <w:pPr>
              <w:rPr>
                <w:rFonts w:ascii="Arial" w:hAnsi="Arial" w:cs="Arial"/>
              </w:rPr>
            </w:pPr>
            <w:r>
              <w:rPr>
                <w:rFonts w:ascii="Arial" w:hAnsi="Arial" w:cs="Arial"/>
                <w:b/>
                <w:bCs/>
              </w:rPr>
              <w:t xml:space="preserve">How long do we need to retain portfolios after submitting results?  </w:t>
            </w:r>
          </w:p>
        </w:tc>
      </w:tr>
      <w:tr w:rsidR="00792E1E" w:rsidTr="00792E1E">
        <w:tc>
          <w:tcPr>
            <w:tcW w:w="10065" w:type="dxa"/>
          </w:tcPr>
          <w:p w:rsidR="00792E1E" w:rsidRDefault="00792E1E" w:rsidP="002D4900">
            <w:pPr>
              <w:pStyle w:val="ListParagraph"/>
              <w:ind w:left="0"/>
              <w:rPr>
                <w:rFonts w:ascii="Arial" w:hAnsi="Arial" w:cs="Arial"/>
                <w:color w:val="FF0000"/>
                <w:sz w:val="2"/>
                <w:szCs w:val="2"/>
              </w:rPr>
            </w:pPr>
          </w:p>
          <w:p w:rsidR="00792E1E" w:rsidRPr="006373A5" w:rsidRDefault="00792E1E" w:rsidP="002D4900">
            <w:pPr>
              <w:rPr>
                <w:rFonts w:ascii="Arial" w:hAnsi="Arial" w:cs="Arial"/>
              </w:rPr>
            </w:pPr>
            <w:r w:rsidRPr="006373A5">
              <w:rPr>
                <w:rFonts w:ascii="Arial" w:hAnsi="Arial" w:cs="Arial"/>
              </w:rPr>
              <w:t>For in</w:t>
            </w:r>
            <w:r>
              <w:rPr>
                <w:rFonts w:ascii="Arial" w:hAnsi="Arial" w:cs="Arial"/>
              </w:rPr>
              <w:t xml:space="preserve">formation on the retention periods for candidate evidence, please contact </w:t>
            </w:r>
            <w:hyperlink r:id="rId12" w:history="1">
              <w:r w:rsidRPr="00D0553A">
                <w:rPr>
                  <w:rStyle w:val="Hyperlink"/>
                  <w:rFonts w:ascii="Arial" w:hAnsi="Arial" w:cs="Arial"/>
                </w:rPr>
                <w:t>asv@sqa.org.uk</w:t>
              </w:r>
            </w:hyperlink>
          </w:p>
        </w:tc>
      </w:tr>
    </w:tbl>
    <w:p w:rsidR="0031168C" w:rsidRDefault="0031168C">
      <w:pPr>
        <w:rPr>
          <w:rFonts w:ascii="Arial" w:hAnsi="Arial" w:cs="Arial"/>
          <w:b/>
          <w:bCs/>
        </w:rPr>
      </w:pPr>
    </w:p>
    <w:p w:rsidR="004571B9" w:rsidRDefault="004571B9">
      <w:pPr>
        <w:spacing w:after="0" w:line="240" w:lineRule="auto"/>
        <w:rPr>
          <w:rFonts w:ascii="Arial" w:hAnsi="Arial" w:cs="Arial"/>
          <w:b/>
          <w:bCs/>
        </w:rPr>
      </w:pPr>
    </w:p>
    <w:p w:rsidR="002E1FEB" w:rsidRDefault="002E1FEB">
      <w:pPr>
        <w:spacing w:after="0" w:line="240" w:lineRule="auto"/>
        <w:rPr>
          <w:rFonts w:ascii="Arial" w:hAnsi="Arial" w:cs="Arial"/>
          <w:b/>
          <w:bCs/>
        </w:rPr>
      </w:pPr>
    </w:p>
    <w:p w:rsidR="0031168C" w:rsidRPr="00792E1E" w:rsidRDefault="0031168C" w:rsidP="00792E1E">
      <w:pPr>
        <w:spacing w:after="0" w:line="240" w:lineRule="auto"/>
        <w:rPr>
          <w:rFonts w:ascii="Arial" w:hAnsi="Arial" w:cs="Arial"/>
          <w:b/>
          <w:bCs/>
        </w:rPr>
      </w:pPr>
    </w:p>
    <w:sectPr w:rsidR="0031168C" w:rsidRPr="00792E1E" w:rsidSect="007E0D28">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950" w:rsidRDefault="00635950" w:rsidP="00B110F1">
      <w:pPr>
        <w:spacing w:after="0" w:line="240" w:lineRule="auto"/>
      </w:pPr>
      <w:r>
        <w:separator/>
      </w:r>
    </w:p>
  </w:endnote>
  <w:endnote w:type="continuationSeparator" w:id="0">
    <w:p w:rsidR="00635950" w:rsidRDefault="00635950" w:rsidP="00B1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26" w:rsidRDefault="00DF5C26">
    <w:pPr>
      <w:pStyle w:val="Footer"/>
    </w:pPr>
    <w:r w:rsidRPr="0096549D">
      <w:rPr>
        <w:rFonts w:ascii="Arial" w:eastAsiaTheme="majorEastAsia" w:hAnsi="Arial" w:cs="Arial"/>
        <w:sz w:val="18"/>
        <w:szCs w:val="18"/>
      </w:rPr>
      <w:t>SVQ Business and Administration FAQ – July 2019</w:t>
    </w:r>
    <w:r w:rsidRPr="0096549D">
      <w:rPr>
        <w:rFonts w:ascii="Arial" w:eastAsiaTheme="majorEastAsia" w:hAnsi="Arial" w:cs="Arial"/>
        <w:sz w:val="18"/>
        <w:szCs w:val="18"/>
      </w:rPr>
      <w:ptab w:relativeTo="margin" w:alignment="right" w:leader="none"/>
    </w:r>
    <w:r w:rsidRPr="0096549D">
      <w:rPr>
        <w:rFonts w:ascii="Arial" w:eastAsiaTheme="majorEastAsia" w:hAnsi="Arial" w:cs="Arial"/>
        <w:sz w:val="18"/>
        <w:szCs w:val="18"/>
      </w:rPr>
      <w:t>Page</w:t>
    </w:r>
    <w:r w:rsidRPr="009F54F9">
      <w:rPr>
        <w:rFonts w:asciiTheme="majorHAnsi" w:eastAsiaTheme="majorEastAsia" w:hAnsiTheme="majorHAnsi" w:cstheme="majorBidi"/>
        <w:sz w:val="18"/>
        <w:szCs w:val="18"/>
      </w:rPr>
      <w:t xml:space="preserve"> </w:t>
    </w:r>
    <w:r w:rsidRPr="0097328E">
      <w:rPr>
        <w:rFonts w:ascii="Arial" w:hAnsi="Arial" w:cs="Arial"/>
        <w:sz w:val="18"/>
        <w:szCs w:val="18"/>
      </w:rPr>
      <w:fldChar w:fldCharType="begin"/>
    </w:r>
    <w:r w:rsidRPr="0097328E">
      <w:rPr>
        <w:rFonts w:ascii="Arial" w:hAnsi="Arial" w:cs="Arial"/>
        <w:sz w:val="18"/>
        <w:szCs w:val="18"/>
      </w:rPr>
      <w:instrText xml:space="preserve"> PAGE   \* MERGEFORMAT </w:instrText>
    </w:r>
    <w:r w:rsidRPr="0097328E">
      <w:rPr>
        <w:rFonts w:ascii="Arial" w:hAnsi="Arial" w:cs="Arial"/>
        <w:sz w:val="18"/>
        <w:szCs w:val="18"/>
      </w:rPr>
      <w:fldChar w:fldCharType="separate"/>
    </w:r>
    <w:r w:rsidR="009D2717" w:rsidRPr="009D2717">
      <w:rPr>
        <w:rFonts w:ascii="Arial" w:eastAsiaTheme="majorEastAsia" w:hAnsi="Arial" w:cs="Arial"/>
        <w:noProof/>
        <w:sz w:val="18"/>
        <w:szCs w:val="18"/>
      </w:rPr>
      <w:t>1</w:t>
    </w:r>
    <w:r w:rsidRPr="0097328E">
      <w:rPr>
        <w:rFonts w:ascii="Arial" w:eastAsiaTheme="majorEastAsia" w:hAnsi="Arial" w:cs="Arial"/>
        <w:noProof/>
        <w:sz w:val="18"/>
        <w:szCs w:val="18"/>
      </w:rPr>
      <w:fldChar w:fldCharType="end"/>
    </w:r>
    <w:r w:rsidRPr="009F54F9">
      <w:rPr>
        <w:rFonts w:ascii="Book Antiqua" w:hAnsi="Book Antiqua" w:cs="Vrinda"/>
        <w:noProof/>
        <w:sz w:val="18"/>
        <w:szCs w:val="18"/>
        <w:lang w:eastAsia="en-GB"/>
      </w:rPr>
      <mc:AlternateContent>
        <mc:Choice Requires="wpg">
          <w:drawing>
            <wp:anchor distT="0" distB="0" distL="114300" distR="114300" simplePos="0" relativeHeight="251658240" behindDoc="0" locked="0" layoutInCell="0" allowOverlap="1" wp14:anchorId="2148ACC2" wp14:editId="7C185581">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C8FDDF1" id="Group 441" o:spid="_x0000_s1026" style="position:absolute;margin-left:0;margin-top:0;width:610.8pt;height:64.8pt;flip:y;z-index:25165824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0klw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Vaf0k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950" w:rsidRDefault="00635950" w:rsidP="00B110F1">
      <w:pPr>
        <w:spacing w:after="0" w:line="240" w:lineRule="auto"/>
      </w:pPr>
      <w:r>
        <w:separator/>
      </w:r>
    </w:p>
  </w:footnote>
  <w:footnote w:type="continuationSeparator" w:id="0">
    <w:p w:rsidR="00635950" w:rsidRDefault="00635950" w:rsidP="00B11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667"/>
    <w:multiLevelType w:val="hybridMultilevel"/>
    <w:tmpl w:val="B078599A"/>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1" w15:restartNumberingAfterBreak="0">
    <w:nsid w:val="0C5552B4"/>
    <w:multiLevelType w:val="hybridMultilevel"/>
    <w:tmpl w:val="F5CE7152"/>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2" w15:restartNumberingAfterBreak="0">
    <w:nsid w:val="12295BE8"/>
    <w:multiLevelType w:val="hybridMultilevel"/>
    <w:tmpl w:val="46023CE6"/>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3" w15:restartNumberingAfterBreak="0">
    <w:nsid w:val="19AF773B"/>
    <w:multiLevelType w:val="hybridMultilevel"/>
    <w:tmpl w:val="B10ED860"/>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4" w15:restartNumberingAfterBreak="0">
    <w:nsid w:val="1E112D77"/>
    <w:multiLevelType w:val="hybridMultilevel"/>
    <w:tmpl w:val="C3B6A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1AD1B54"/>
    <w:multiLevelType w:val="hybridMultilevel"/>
    <w:tmpl w:val="1F80D8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43114AC"/>
    <w:multiLevelType w:val="hybridMultilevel"/>
    <w:tmpl w:val="9D04235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7" w15:restartNumberingAfterBreak="0">
    <w:nsid w:val="36ED5B68"/>
    <w:multiLevelType w:val="hybridMultilevel"/>
    <w:tmpl w:val="B9383992"/>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8" w15:restartNumberingAfterBreak="0">
    <w:nsid w:val="3CF65D53"/>
    <w:multiLevelType w:val="hybridMultilevel"/>
    <w:tmpl w:val="1DC20396"/>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9" w15:restartNumberingAfterBreak="0">
    <w:nsid w:val="42EF14F6"/>
    <w:multiLevelType w:val="hybridMultilevel"/>
    <w:tmpl w:val="94E0FB70"/>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10" w15:restartNumberingAfterBreak="0">
    <w:nsid w:val="4DB30AD6"/>
    <w:multiLevelType w:val="hybridMultilevel"/>
    <w:tmpl w:val="E9FAB2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571F083C"/>
    <w:multiLevelType w:val="hybridMultilevel"/>
    <w:tmpl w:val="52087E88"/>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12" w15:restartNumberingAfterBreak="0">
    <w:nsid w:val="669E7C30"/>
    <w:multiLevelType w:val="hybridMultilevel"/>
    <w:tmpl w:val="110AF4D8"/>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13" w15:restartNumberingAfterBreak="0">
    <w:nsid w:val="68973079"/>
    <w:multiLevelType w:val="hybridMultilevel"/>
    <w:tmpl w:val="AA74BDCC"/>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14" w15:restartNumberingAfterBreak="0">
    <w:nsid w:val="68BD5ED7"/>
    <w:multiLevelType w:val="hybridMultilevel"/>
    <w:tmpl w:val="30E2D6B6"/>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15" w15:restartNumberingAfterBreak="0">
    <w:nsid w:val="70245B93"/>
    <w:multiLevelType w:val="hybridMultilevel"/>
    <w:tmpl w:val="9E04A0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20D3A9C"/>
    <w:multiLevelType w:val="hybridMultilevel"/>
    <w:tmpl w:val="5DE21D8C"/>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17" w15:restartNumberingAfterBreak="0">
    <w:nsid w:val="76630CBE"/>
    <w:multiLevelType w:val="hybridMultilevel"/>
    <w:tmpl w:val="F07696D4"/>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18" w15:restartNumberingAfterBreak="0">
    <w:nsid w:val="7780339E"/>
    <w:multiLevelType w:val="hybridMultilevel"/>
    <w:tmpl w:val="CE3083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7A9D24B9"/>
    <w:multiLevelType w:val="hybridMultilevel"/>
    <w:tmpl w:val="418AC10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0"/>
  </w:num>
  <w:num w:numId="2">
    <w:abstractNumId w:val="19"/>
  </w:num>
  <w:num w:numId="3">
    <w:abstractNumId w:val="5"/>
  </w:num>
  <w:num w:numId="4">
    <w:abstractNumId w:val="15"/>
  </w:num>
  <w:num w:numId="5">
    <w:abstractNumId w:val="4"/>
  </w:num>
  <w:num w:numId="6">
    <w:abstractNumId w:val="6"/>
  </w:num>
  <w:num w:numId="7">
    <w:abstractNumId w:val="13"/>
  </w:num>
  <w:num w:numId="8">
    <w:abstractNumId w:val="14"/>
  </w:num>
  <w:num w:numId="9">
    <w:abstractNumId w:val="11"/>
  </w:num>
  <w:num w:numId="10">
    <w:abstractNumId w:val="9"/>
  </w:num>
  <w:num w:numId="11">
    <w:abstractNumId w:val="1"/>
  </w:num>
  <w:num w:numId="12">
    <w:abstractNumId w:val="7"/>
  </w:num>
  <w:num w:numId="13">
    <w:abstractNumId w:val="8"/>
  </w:num>
  <w:num w:numId="14">
    <w:abstractNumId w:val="2"/>
  </w:num>
  <w:num w:numId="15">
    <w:abstractNumId w:val="3"/>
  </w:num>
  <w:num w:numId="16">
    <w:abstractNumId w:val="12"/>
  </w:num>
  <w:num w:numId="17">
    <w:abstractNumId w:val="16"/>
  </w:num>
  <w:num w:numId="18">
    <w:abstractNumId w:val="18"/>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8C"/>
    <w:rsid w:val="00001BF2"/>
    <w:rsid w:val="00017A6F"/>
    <w:rsid w:val="00020C18"/>
    <w:rsid w:val="000257D2"/>
    <w:rsid w:val="00087C73"/>
    <w:rsid w:val="000B7286"/>
    <w:rsid w:val="000C1A5C"/>
    <w:rsid w:val="000C36DC"/>
    <w:rsid w:val="000C5995"/>
    <w:rsid w:val="000D6284"/>
    <w:rsid w:val="000F0193"/>
    <w:rsid w:val="000F05C2"/>
    <w:rsid w:val="00114D82"/>
    <w:rsid w:val="0013239A"/>
    <w:rsid w:val="0014430F"/>
    <w:rsid w:val="00152689"/>
    <w:rsid w:val="001533BD"/>
    <w:rsid w:val="00173833"/>
    <w:rsid w:val="001748C6"/>
    <w:rsid w:val="00176D82"/>
    <w:rsid w:val="00186DEF"/>
    <w:rsid w:val="001B1A3A"/>
    <w:rsid w:val="001C3371"/>
    <w:rsid w:val="001C53F5"/>
    <w:rsid w:val="001C6CA8"/>
    <w:rsid w:val="001E091F"/>
    <w:rsid w:val="002014C4"/>
    <w:rsid w:val="0021398A"/>
    <w:rsid w:val="00214EEB"/>
    <w:rsid w:val="00217391"/>
    <w:rsid w:val="00217AF5"/>
    <w:rsid w:val="00225034"/>
    <w:rsid w:val="0023175E"/>
    <w:rsid w:val="00231C92"/>
    <w:rsid w:val="002364C6"/>
    <w:rsid w:val="00260244"/>
    <w:rsid w:val="00266881"/>
    <w:rsid w:val="002767A1"/>
    <w:rsid w:val="00277607"/>
    <w:rsid w:val="0028475B"/>
    <w:rsid w:val="00285A6F"/>
    <w:rsid w:val="00290887"/>
    <w:rsid w:val="002B1D63"/>
    <w:rsid w:val="002B4D94"/>
    <w:rsid w:val="002C38AF"/>
    <w:rsid w:val="002E1FEB"/>
    <w:rsid w:val="002E28B9"/>
    <w:rsid w:val="002E76AA"/>
    <w:rsid w:val="00300926"/>
    <w:rsid w:val="0031168C"/>
    <w:rsid w:val="00315F8F"/>
    <w:rsid w:val="00317486"/>
    <w:rsid w:val="0033469A"/>
    <w:rsid w:val="003533C1"/>
    <w:rsid w:val="003550E2"/>
    <w:rsid w:val="00383E96"/>
    <w:rsid w:val="0038718F"/>
    <w:rsid w:val="00396337"/>
    <w:rsid w:val="003A1616"/>
    <w:rsid w:val="003B0187"/>
    <w:rsid w:val="003B2409"/>
    <w:rsid w:val="003B3065"/>
    <w:rsid w:val="003B78AB"/>
    <w:rsid w:val="003C3AC8"/>
    <w:rsid w:val="003E0C35"/>
    <w:rsid w:val="003F4C18"/>
    <w:rsid w:val="004000B6"/>
    <w:rsid w:val="00403984"/>
    <w:rsid w:val="00404FC8"/>
    <w:rsid w:val="004166B4"/>
    <w:rsid w:val="0041723F"/>
    <w:rsid w:val="004315CA"/>
    <w:rsid w:val="00436CC7"/>
    <w:rsid w:val="004571B9"/>
    <w:rsid w:val="00472252"/>
    <w:rsid w:val="0047436B"/>
    <w:rsid w:val="0048161D"/>
    <w:rsid w:val="00482EC6"/>
    <w:rsid w:val="004851E8"/>
    <w:rsid w:val="004A13F8"/>
    <w:rsid w:val="004A22B8"/>
    <w:rsid w:val="004A6C39"/>
    <w:rsid w:val="004B41E7"/>
    <w:rsid w:val="004B5F63"/>
    <w:rsid w:val="004C1199"/>
    <w:rsid w:val="004E2781"/>
    <w:rsid w:val="0050095D"/>
    <w:rsid w:val="0050627C"/>
    <w:rsid w:val="0051664F"/>
    <w:rsid w:val="00530A58"/>
    <w:rsid w:val="0053631F"/>
    <w:rsid w:val="0054400C"/>
    <w:rsid w:val="00551E94"/>
    <w:rsid w:val="005712D3"/>
    <w:rsid w:val="005A7A83"/>
    <w:rsid w:val="005C5974"/>
    <w:rsid w:val="00622452"/>
    <w:rsid w:val="0062793F"/>
    <w:rsid w:val="00634F0D"/>
    <w:rsid w:val="00635950"/>
    <w:rsid w:val="006373A5"/>
    <w:rsid w:val="00645C7C"/>
    <w:rsid w:val="00665493"/>
    <w:rsid w:val="00676978"/>
    <w:rsid w:val="006D4D72"/>
    <w:rsid w:val="006D6256"/>
    <w:rsid w:val="006E6AF6"/>
    <w:rsid w:val="006F04EF"/>
    <w:rsid w:val="006F2EA1"/>
    <w:rsid w:val="00717D4C"/>
    <w:rsid w:val="0074579B"/>
    <w:rsid w:val="00781F17"/>
    <w:rsid w:val="0078218D"/>
    <w:rsid w:val="00792E1E"/>
    <w:rsid w:val="007938FA"/>
    <w:rsid w:val="00797E78"/>
    <w:rsid w:val="007D303B"/>
    <w:rsid w:val="007D4124"/>
    <w:rsid w:val="007E0D28"/>
    <w:rsid w:val="007F5A7F"/>
    <w:rsid w:val="00800B82"/>
    <w:rsid w:val="00822699"/>
    <w:rsid w:val="008655F5"/>
    <w:rsid w:val="0086718C"/>
    <w:rsid w:val="00882B40"/>
    <w:rsid w:val="008A011B"/>
    <w:rsid w:val="008D5F64"/>
    <w:rsid w:val="008E5002"/>
    <w:rsid w:val="008F5223"/>
    <w:rsid w:val="009025AF"/>
    <w:rsid w:val="00905CD4"/>
    <w:rsid w:val="00932E18"/>
    <w:rsid w:val="00945DFA"/>
    <w:rsid w:val="0096549D"/>
    <w:rsid w:val="0097328E"/>
    <w:rsid w:val="00974367"/>
    <w:rsid w:val="0097441B"/>
    <w:rsid w:val="0098032B"/>
    <w:rsid w:val="00981F07"/>
    <w:rsid w:val="00983A97"/>
    <w:rsid w:val="00997B04"/>
    <w:rsid w:val="009B536B"/>
    <w:rsid w:val="009C2673"/>
    <w:rsid w:val="009C3BF3"/>
    <w:rsid w:val="009D0603"/>
    <w:rsid w:val="009D2717"/>
    <w:rsid w:val="009E34A9"/>
    <w:rsid w:val="009F3BC9"/>
    <w:rsid w:val="009F54F9"/>
    <w:rsid w:val="00A1688B"/>
    <w:rsid w:val="00A1693C"/>
    <w:rsid w:val="00A21E58"/>
    <w:rsid w:val="00A252BC"/>
    <w:rsid w:val="00A31BBB"/>
    <w:rsid w:val="00A441D6"/>
    <w:rsid w:val="00A569B8"/>
    <w:rsid w:val="00A635A8"/>
    <w:rsid w:val="00A6528B"/>
    <w:rsid w:val="00A70471"/>
    <w:rsid w:val="00A95EB9"/>
    <w:rsid w:val="00AA3448"/>
    <w:rsid w:val="00AA77FE"/>
    <w:rsid w:val="00AD0C47"/>
    <w:rsid w:val="00AE61D2"/>
    <w:rsid w:val="00AF039D"/>
    <w:rsid w:val="00AF0555"/>
    <w:rsid w:val="00AF5274"/>
    <w:rsid w:val="00B110F1"/>
    <w:rsid w:val="00B50708"/>
    <w:rsid w:val="00B60E66"/>
    <w:rsid w:val="00B61407"/>
    <w:rsid w:val="00B87D32"/>
    <w:rsid w:val="00B9636A"/>
    <w:rsid w:val="00BA5369"/>
    <w:rsid w:val="00BB5993"/>
    <w:rsid w:val="00BC5BEB"/>
    <w:rsid w:val="00BF0A72"/>
    <w:rsid w:val="00C051E8"/>
    <w:rsid w:val="00C205B5"/>
    <w:rsid w:val="00C26F73"/>
    <w:rsid w:val="00C36542"/>
    <w:rsid w:val="00C43C6C"/>
    <w:rsid w:val="00C446E3"/>
    <w:rsid w:val="00C53817"/>
    <w:rsid w:val="00C5593D"/>
    <w:rsid w:val="00C563CD"/>
    <w:rsid w:val="00C6731F"/>
    <w:rsid w:val="00C703E6"/>
    <w:rsid w:val="00C70B97"/>
    <w:rsid w:val="00C839E8"/>
    <w:rsid w:val="00C84C60"/>
    <w:rsid w:val="00CC3F2D"/>
    <w:rsid w:val="00CC59C5"/>
    <w:rsid w:val="00CC6AD9"/>
    <w:rsid w:val="00CF20D9"/>
    <w:rsid w:val="00D1163D"/>
    <w:rsid w:val="00D131F4"/>
    <w:rsid w:val="00D13A5B"/>
    <w:rsid w:val="00D22765"/>
    <w:rsid w:val="00D23FC2"/>
    <w:rsid w:val="00D402D8"/>
    <w:rsid w:val="00D742D8"/>
    <w:rsid w:val="00D8034B"/>
    <w:rsid w:val="00D80A15"/>
    <w:rsid w:val="00DA5BD0"/>
    <w:rsid w:val="00DC2FD5"/>
    <w:rsid w:val="00DD5A6B"/>
    <w:rsid w:val="00DF5C26"/>
    <w:rsid w:val="00DF737D"/>
    <w:rsid w:val="00E0136B"/>
    <w:rsid w:val="00E15774"/>
    <w:rsid w:val="00E17D0C"/>
    <w:rsid w:val="00E22BAD"/>
    <w:rsid w:val="00E25997"/>
    <w:rsid w:val="00E32445"/>
    <w:rsid w:val="00E32A37"/>
    <w:rsid w:val="00E33D0F"/>
    <w:rsid w:val="00E56587"/>
    <w:rsid w:val="00E63D13"/>
    <w:rsid w:val="00E80C69"/>
    <w:rsid w:val="00EB7494"/>
    <w:rsid w:val="00ED50C0"/>
    <w:rsid w:val="00EF4EC6"/>
    <w:rsid w:val="00F05A22"/>
    <w:rsid w:val="00F12C35"/>
    <w:rsid w:val="00F258B0"/>
    <w:rsid w:val="00F278F4"/>
    <w:rsid w:val="00F35701"/>
    <w:rsid w:val="00F35CA0"/>
    <w:rsid w:val="00F42D48"/>
    <w:rsid w:val="00F50955"/>
    <w:rsid w:val="00F51228"/>
    <w:rsid w:val="00F618AB"/>
    <w:rsid w:val="00F901C7"/>
    <w:rsid w:val="00FA0DC1"/>
    <w:rsid w:val="00FD0EF0"/>
    <w:rsid w:val="00FD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6E95545-BE94-45AE-B7C2-46EAAB1B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lang w:eastAsia="en-US"/>
    </w:rPr>
  </w:style>
  <w:style w:type="table" w:styleId="TableGrid">
    <w:name w:val="Table Grid"/>
    <w:basedOn w:val="TableNormal"/>
    <w:uiPriority w:val="59"/>
    <w:rsid w:val="0017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1D63"/>
    <w:rPr>
      <w:color w:val="0000FF" w:themeColor="hyperlink"/>
      <w:u w:val="single"/>
    </w:rPr>
  </w:style>
  <w:style w:type="paragraph" w:styleId="Header">
    <w:name w:val="header"/>
    <w:basedOn w:val="Normal"/>
    <w:link w:val="HeaderChar"/>
    <w:uiPriority w:val="99"/>
    <w:unhideWhenUsed/>
    <w:rsid w:val="00B11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0F1"/>
    <w:rPr>
      <w:rFonts w:ascii="Calibri" w:hAnsi="Calibri" w:cs="Calibri"/>
      <w:lang w:eastAsia="en-US"/>
    </w:rPr>
  </w:style>
  <w:style w:type="paragraph" w:styleId="Footer">
    <w:name w:val="footer"/>
    <w:basedOn w:val="Normal"/>
    <w:link w:val="FooterChar"/>
    <w:uiPriority w:val="99"/>
    <w:unhideWhenUsed/>
    <w:rsid w:val="00B11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0F1"/>
    <w:rPr>
      <w:rFonts w:ascii="Calibri" w:hAnsi="Calibri" w:cs="Calibri"/>
      <w:lang w:eastAsia="en-US"/>
    </w:rPr>
  </w:style>
  <w:style w:type="character" w:styleId="FollowedHyperlink">
    <w:name w:val="FollowedHyperlink"/>
    <w:basedOn w:val="DefaultParagraphFont"/>
    <w:uiPriority w:val="99"/>
    <w:semiHidden/>
    <w:unhideWhenUsed/>
    <w:rsid w:val="009F54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v@sq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qa.org.uk/sqa/45620.html" TargetMode="External"/><Relationship Id="rId5" Type="http://schemas.openxmlformats.org/officeDocument/2006/relationships/webSettings" Target="webSettings.xml"/><Relationship Id="rId10" Type="http://schemas.openxmlformats.org/officeDocument/2006/relationships/hyperlink" Target="https://www.understandingstandards.org.uk/Subjects/SVQ/BusinessAdministration/svq_ba_ho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2AA4B-A89A-492E-A416-8C797924F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SVQ Business and Administration Network 2014</vt:lpstr>
    </vt:vector>
  </TitlesOfParts>
  <Company>SQA</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Business and Administration Network 2014</dc:title>
  <dc:creator>Tony Hamilton</dc:creator>
  <cp:lastModifiedBy>Claire Akram</cp:lastModifiedBy>
  <cp:revision>2</cp:revision>
  <cp:lastPrinted>2014-06-02T09:06:00Z</cp:lastPrinted>
  <dcterms:created xsi:type="dcterms:W3CDTF">2019-07-31T11:09:00Z</dcterms:created>
  <dcterms:modified xsi:type="dcterms:W3CDTF">2019-07-31T11:09:00Z</dcterms:modified>
</cp:coreProperties>
</file>