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C6AC" w14:textId="77777777" w:rsidR="00B17B10" w:rsidRPr="00447B9D" w:rsidRDefault="00B17B10" w:rsidP="00B17B10">
      <w:pPr>
        <w:keepNext/>
        <w:spacing w:after="0" w:line="240" w:lineRule="auto"/>
        <w:outlineLvl w:val="1"/>
        <w:rPr>
          <w:rFonts w:ascii="Arial" w:eastAsia="Calibri" w:hAnsi="Arial" w:cs="Arial"/>
          <w:b/>
          <w:bCs/>
          <w:kern w:val="28"/>
          <w:sz w:val="36"/>
          <w:szCs w:val="36"/>
          <w:lang w:eastAsia="en-GB"/>
        </w:rPr>
      </w:pPr>
      <w:r w:rsidRPr="01719FFC">
        <w:rPr>
          <w:rFonts w:ascii="Arial" w:eastAsia="Calibri" w:hAnsi="Arial" w:cs="Arial"/>
          <w:b/>
          <w:bCs/>
          <w:kern w:val="28"/>
          <w:sz w:val="36"/>
          <w:szCs w:val="36"/>
          <w:lang w:eastAsia="en-GB"/>
        </w:rPr>
        <w:t xml:space="preserve">Policy: </w:t>
      </w:r>
      <w:r>
        <w:rPr>
          <w:rFonts w:ascii="Arial" w:eastAsia="Calibri" w:hAnsi="Arial" w:cs="Arial"/>
          <w:b/>
          <w:bCs/>
          <w:kern w:val="28"/>
          <w:sz w:val="36"/>
          <w:szCs w:val="36"/>
          <w:lang w:eastAsia="en-GB"/>
        </w:rPr>
        <w:t xml:space="preserve">Adverse Circumstances Support </w:t>
      </w:r>
    </w:p>
    <w:p w14:paraId="070B7F6B" w14:textId="77777777" w:rsidR="00B17B10" w:rsidRDefault="00B17B10" w:rsidP="00B17B10">
      <w:pPr>
        <w:spacing w:after="0" w:line="240" w:lineRule="auto"/>
        <w:rPr>
          <w:rFonts w:ascii="Arial" w:eastAsia="Calibri" w:hAnsi="Arial" w:cs="Arial"/>
        </w:rPr>
      </w:pPr>
    </w:p>
    <w:p w14:paraId="5F23D18F" w14:textId="77777777" w:rsidR="00B17B10" w:rsidRPr="00447B9D" w:rsidRDefault="00B17B10" w:rsidP="00B17B10">
      <w:pPr>
        <w:spacing w:after="0" w:line="240" w:lineRule="auto"/>
        <w:rPr>
          <w:rFonts w:ascii="Arial" w:eastAsia="Calibri" w:hAnsi="Arial" w:cs="Arial"/>
          <w:b/>
          <w:kern w:val="28"/>
          <w:sz w:val="24"/>
          <w:lang w:eastAsia="en-GB"/>
        </w:rPr>
      </w:pPr>
      <w:r w:rsidRPr="00447B9D">
        <w:rPr>
          <w:rFonts w:ascii="Arial" w:eastAsia="Calibri" w:hAnsi="Arial" w:cs="Arial"/>
          <w:b/>
          <w:kern w:val="28"/>
          <w:sz w:val="24"/>
          <w:lang w:eastAsia="en-GB"/>
        </w:rPr>
        <w:t xml:space="preserve">Why do we need the policy? </w:t>
      </w:r>
    </w:p>
    <w:p w14:paraId="7C2B42CC" w14:textId="77777777" w:rsidR="00B17B10" w:rsidRPr="00447B9D" w:rsidRDefault="00B17B10" w:rsidP="00B17B10">
      <w:pPr>
        <w:spacing w:after="0" w:line="240" w:lineRule="auto"/>
        <w:rPr>
          <w:rFonts w:ascii="Arial" w:eastAsia="Calibri" w:hAnsi="Arial" w:cs="Arial"/>
        </w:rPr>
      </w:pPr>
      <w:r>
        <w:rPr>
          <w:rFonts w:ascii="Arial" w:eastAsia="Calibri" w:hAnsi="Arial" w:cs="Arial"/>
        </w:rPr>
        <w:t xml:space="preserve">This document sets out the policy for </w:t>
      </w:r>
      <w:r w:rsidRPr="00E14A39">
        <w:rPr>
          <w:rFonts w:ascii="Arial" w:eastAsia="Calibri" w:hAnsi="Arial" w:cs="Arial"/>
        </w:rPr>
        <w:t>Adverse Circumstances Support</w:t>
      </w:r>
      <w:r>
        <w:rPr>
          <w:rFonts w:ascii="Arial" w:eastAsia="Calibri" w:hAnsi="Arial" w:cs="Arial"/>
        </w:rPr>
        <w:t xml:space="preserve"> for non-question paper externally assessed components of National 5, Higher and Advanced Higher Courses.</w:t>
      </w:r>
      <w:r w:rsidRPr="00447B9D">
        <w:rPr>
          <w:rFonts w:ascii="Arial" w:eastAsia="Calibri" w:hAnsi="Arial" w:cs="Arial"/>
        </w:rPr>
        <w:t xml:space="preserve"> </w:t>
      </w:r>
    </w:p>
    <w:p w14:paraId="22AE82DF" w14:textId="77777777" w:rsidR="00B17B10" w:rsidRPr="00447B9D" w:rsidRDefault="00B17B10" w:rsidP="00B17B10">
      <w:pPr>
        <w:spacing w:after="0" w:line="240" w:lineRule="auto"/>
        <w:rPr>
          <w:rFonts w:ascii="Arial" w:eastAsia="Calibri" w:hAnsi="Arial" w:cs="Arial"/>
        </w:rPr>
      </w:pPr>
    </w:p>
    <w:p w14:paraId="1BDF7B1B" w14:textId="77777777" w:rsidR="00B17B10" w:rsidRPr="00447B9D" w:rsidRDefault="00B17B10" w:rsidP="00B17B10">
      <w:pPr>
        <w:keepNext/>
        <w:spacing w:before="120" w:after="60" w:line="240" w:lineRule="auto"/>
        <w:ind w:left="709" w:hanging="709"/>
        <w:outlineLvl w:val="3"/>
        <w:rPr>
          <w:rFonts w:ascii="Arial" w:eastAsia="Calibri" w:hAnsi="Arial" w:cs="Arial"/>
          <w:b/>
          <w:kern w:val="28"/>
          <w:sz w:val="24"/>
          <w:lang w:eastAsia="en-GB"/>
        </w:rPr>
      </w:pPr>
      <w:r w:rsidRPr="00447B9D">
        <w:rPr>
          <w:rFonts w:ascii="Arial" w:eastAsia="Calibri" w:hAnsi="Arial" w:cs="Arial"/>
          <w:b/>
          <w:kern w:val="28"/>
          <w:sz w:val="24"/>
          <w:lang w:eastAsia="en-GB"/>
        </w:rPr>
        <w:t xml:space="preserve">What does it apply to? </w:t>
      </w:r>
    </w:p>
    <w:p w14:paraId="67828955" w14:textId="77777777" w:rsidR="00B17B10" w:rsidRDefault="00B17B10" w:rsidP="00B17B10">
      <w:pPr>
        <w:spacing w:after="0" w:line="240" w:lineRule="auto"/>
        <w:rPr>
          <w:rFonts w:ascii="Arial" w:eastAsia="Calibri" w:hAnsi="Arial" w:cs="Arial"/>
        </w:rPr>
      </w:pPr>
      <w:r w:rsidRPr="00447B9D">
        <w:rPr>
          <w:rFonts w:ascii="Arial" w:eastAsia="Calibri" w:hAnsi="Arial" w:cs="Arial"/>
        </w:rPr>
        <w:t xml:space="preserve">This policy applies </w:t>
      </w:r>
      <w:r w:rsidRPr="001E4185">
        <w:rPr>
          <w:rFonts w:ascii="Arial" w:eastAsia="Calibri" w:hAnsi="Arial" w:cs="Arial"/>
        </w:rPr>
        <w:t>to non-question paper externally assessed components</w:t>
      </w:r>
      <w:r>
        <w:rPr>
          <w:rFonts w:ascii="Arial" w:eastAsia="Calibri" w:hAnsi="Arial" w:cs="Arial"/>
        </w:rPr>
        <w:t xml:space="preserve"> of </w:t>
      </w:r>
      <w:r w:rsidRPr="00447B9D">
        <w:rPr>
          <w:rFonts w:ascii="Arial" w:eastAsia="Calibri" w:hAnsi="Arial" w:cs="Arial"/>
        </w:rPr>
        <w:t xml:space="preserve">National </w:t>
      </w:r>
      <w:r>
        <w:rPr>
          <w:rFonts w:ascii="Arial" w:eastAsia="Calibri" w:hAnsi="Arial" w:cs="Arial"/>
        </w:rPr>
        <w:t>Courses</w:t>
      </w:r>
      <w:r w:rsidRPr="00447B9D">
        <w:rPr>
          <w:rFonts w:ascii="Arial" w:eastAsia="Calibri" w:hAnsi="Arial" w:cs="Arial"/>
        </w:rPr>
        <w:t xml:space="preserve"> at National 5, Higher and Adva</w:t>
      </w:r>
      <w:r>
        <w:rPr>
          <w:rFonts w:ascii="Arial" w:eastAsia="Calibri" w:hAnsi="Arial" w:cs="Arial"/>
        </w:rPr>
        <w:t xml:space="preserve">nced Higher. </w:t>
      </w:r>
      <w:r w:rsidRPr="008267AA">
        <w:rPr>
          <w:rFonts w:ascii="Arial" w:eastAsia="Calibri" w:hAnsi="Arial" w:cs="Arial"/>
        </w:rPr>
        <w:t>Question paper components are subject to our published policy on the Exceptional Examination Circumstances Considerations Service (EECCS). </w:t>
      </w:r>
    </w:p>
    <w:p w14:paraId="15DB6982" w14:textId="77777777" w:rsidR="00B17B10" w:rsidRPr="00447B9D" w:rsidRDefault="00B17B10" w:rsidP="00B17B10">
      <w:pPr>
        <w:spacing w:after="0" w:line="240" w:lineRule="auto"/>
        <w:rPr>
          <w:rFonts w:ascii="Arial" w:eastAsia="Calibri" w:hAnsi="Arial" w:cs="Arial"/>
        </w:rPr>
      </w:pPr>
    </w:p>
    <w:p w14:paraId="1D6B5BB9" w14:textId="77777777" w:rsidR="00B17B10" w:rsidRPr="00447B9D" w:rsidRDefault="00B17B10" w:rsidP="00B17B10">
      <w:pPr>
        <w:keepNext/>
        <w:spacing w:before="120" w:after="60" w:line="240" w:lineRule="auto"/>
        <w:ind w:left="709" w:hanging="709"/>
        <w:outlineLvl w:val="3"/>
        <w:rPr>
          <w:rFonts w:ascii="Arial" w:eastAsia="Calibri" w:hAnsi="Arial" w:cs="Arial"/>
          <w:b/>
          <w:kern w:val="28"/>
          <w:sz w:val="24"/>
          <w:szCs w:val="24"/>
          <w:lang w:eastAsia="en-GB"/>
        </w:rPr>
      </w:pPr>
      <w:r w:rsidRPr="5F64B2E3">
        <w:rPr>
          <w:rFonts w:ascii="Arial" w:eastAsia="Calibri" w:hAnsi="Arial" w:cs="Arial"/>
          <w:b/>
          <w:kern w:val="28"/>
          <w:sz w:val="24"/>
          <w:szCs w:val="24"/>
          <w:lang w:eastAsia="en-GB"/>
        </w:rPr>
        <w:t>Who is it for?</w:t>
      </w:r>
    </w:p>
    <w:p w14:paraId="3AAA843A" w14:textId="77777777" w:rsidR="00B17B10" w:rsidRPr="00447B9D" w:rsidRDefault="00B17B10" w:rsidP="00B17B10">
      <w:pPr>
        <w:spacing w:after="0" w:line="240" w:lineRule="auto"/>
        <w:rPr>
          <w:rFonts w:ascii="Arial" w:eastAsia="Calibri" w:hAnsi="Arial" w:cs="Arial"/>
        </w:rPr>
      </w:pPr>
      <w:r w:rsidRPr="00447B9D">
        <w:rPr>
          <w:rFonts w:ascii="Arial" w:eastAsia="Calibri" w:hAnsi="Arial" w:cs="Arial"/>
        </w:rPr>
        <w:t xml:space="preserve">All parts of </w:t>
      </w:r>
      <w:r>
        <w:rPr>
          <w:rFonts w:ascii="Arial" w:eastAsia="Calibri" w:hAnsi="Arial" w:cs="Arial"/>
        </w:rPr>
        <w:t xml:space="preserve">the organisation </w:t>
      </w:r>
      <w:r w:rsidRPr="00447B9D">
        <w:rPr>
          <w:rFonts w:ascii="Arial" w:eastAsia="Calibri" w:hAnsi="Arial" w:cs="Arial"/>
        </w:rPr>
        <w:t xml:space="preserve">involved in the delivery </w:t>
      </w:r>
      <w:r>
        <w:rPr>
          <w:rFonts w:ascii="Arial" w:eastAsia="Calibri" w:hAnsi="Arial" w:cs="Arial"/>
        </w:rPr>
        <w:t xml:space="preserve">of the Adverse Circumstances Support policy. </w:t>
      </w:r>
    </w:p>
    <w:p w14:paraId="3A9F6B81" w14:textId="77777777" w:rsidR="00B17B10" w:rsidRPr="00447B9D" w:rsidRDefault="00B17B10" w:rsidP="00B17B10">
      <w:pPr>
        <w:spacing w:after="0" w:line="240" w:lineRule="auto"/>
        <w:rPr>
          <w:rFonts w:ascii="Arial" w:eastAsia="Calibri" w:hAnsi="Arial" w:cs="Arial"/>
        </w:rPr>
      </w:pPr>
    </w:p>
    <w:p w14:paraId="10EC03D1" w14:textId="77777777" w:rsidR="00B17B10" w:rsidRPr="00447B9D" w:rsidRDefault="00B17B10" w:rsidP="00B17B10">
      <w:pPr>
        <w:keepNext/>
        <w:spacing w:before="120" w:after="60" w:line="240" w:lineRule="auto"/>
        <w:ind w:left="709" w:hanging="709"/>
        <w:outlineLvl w:val="3"/>
        <w:rPr>
          <w:rFonts w:ascii="Arial" w:eastAsia="Calibri" w:hAnsi="Arial" w:cs="Arial"/>
          <w:b/>
          <w:kern w:val="28"/>
          <w:sz w:val="24"/>
          <w:lang w:eastAsia="en-GB"/>
        </w:rPr>
      </w:pPr>
      <w:r w:rsidRPr="00447B9D">
        <w:rPr>
          <w:rFonts w:ascii="Arial" w:eastAsia="Calibri" w:hAnsi="Arial" w:cs="Arial"/>
          <w:b/>
          <w:kern w:val="28"/>
          <w:sz w:val="24"/>
          <w:lang w:eastAsia="en-GB"/>
        </w:rPr>
        <w:t xml:space="preserve">What support is available? </w:t>
      </w:r>
    </w:p>
    <w:p w14:paraId="495B1522" w14:textId="77777777" w:rsidR="00B17B10" w:rsidRPr="00447B9D" w:rsidRDefault="00B17B10" w:rsidP="00B17B10">
      <w:pPr>
        <w:autoSpaceDE w:val="0"/>
        <w:autoSpaceDN w:val="0"/>
        <w:adjustRightInd w:val="0"/>
        <w:spacing w:after="0" w:line="240" w:lineRule="auto"/>
        <w:rPr>
          <w:rFonts w:ascii="Arial" w:eastAsia="Calibri" w:hAnsi="Arial" w:cs="Arial"/>
          <w:color w:val="000000"/>
          <w:sz w:val="24"/>
          <w:szCs w:val="24"/>
        </w:rPr>
      </w:pPr>
      <w:r w:rsidRPr="00447B9D">
        <w:rPr>
          <w:rFonts w:ascii="Arial" w:eastAsia="Calibri" w:hAnsi="Arial" w:cs="Arial"/>
          <w:color w:val="000000"/>
        </w:rPr>
        <w:t xml:space="preserve">The </w:t>
      </w:r>
      <w:r>
        <w:rPr>
          <w:rFonts w:ascii="Arial" w:eastAsia="Calibri" w:hAnsi="Arial" w:cs="Arial"/>
          <w:color w:val="000000"/>
        </w:rPr>
        <w:t xml:space="preserve">National Qualifications policy team </w:t>
      </w:r>
      <w:r w:rsidRPr="00447B9D">
        <w:rPr>
          <w:rFonts w:ascii="Arial" w:eastAsia="Calibri" w:hAnsi="Arial" w:cs="Arial"/>
          <w:color w:val="000000"/>
        </w:rPr>
        <w:t xml:space="preserve">can provide support on implementing this policy. </w:t>
      </w:r>
    </w:p>
    <w:p w14:paraId="464699A2" w14:textId="77777777" w:rsidR="00B17B10" w:rsidRDefault="00B17B10" w:rsidP="00B17B10">
      <w:pPr>
        <w:spacing w:after="0" w:line="240" w:lineRule="auto"/>
        <w:rPr>
          <w:rFonts w:ascii="Arial" w:eastAsia="Calibri" w:hAnsi="Arial" w:cs="Arial"/>
        </w:rPr>
      </w:pPr>
    </w:p>
    <w:p w14:paraId="1D80C55A" w14:textId="77777777" w:rsidR="00B17B10" w:rsidRPr="00320734" w:rsidRDefault="00B17B10" w:rsidP="00B17B10">
      <w:pPr>
        <w:rPr>
          <w:rFonts w:ascii="Arial" w:hAnsi="Arial" w:cs="Arial"/>
        </w:rPr>
      </w:pPr>
      <w:r w:rsidRPr="00320734">
        <w:rPr>
          <w:rFonts w:ascii="Arial" w:hAnsi="Arial" w:cs="Arial"/>
        </w:rPr>
        <w:t>SQA is committed to equality of opportunity and to a culture that respects difference. We believe that, as an employer and public body, we have a leading part in promoting equality, diversity and inclusion in the delivery of our qualifications and assessments by making such considerations an integral part of our decision making. This policy has an Equality Impact Assessment completed on it to assess how this policy may impact on equality groups and the findings from this are reflected in this policy.</w:t>
      </w:r>
    </w:p>
    <w:p w14:paraId="701FDDF1" w14:textId="77777777" w:rsidR="00B17B10" w:rsidRDefault="00B17B10" w:rsidP="00B17B10">
      <w:pPr>
        <w:spacing w:after="0" w:line="240" w:lineRule="auto"/>
        <w:rPr>
          <w:rFonts w:ascii="Arial" w:eastAsia="Calibri" w:hAnsi="Arial" w:cs="Arial"/>
        </w:rPr>
      </w:pPr>
      <w:r>
        <w:rPr>
          <w:rFonts w:ascii="Arial" w:eastAsia="Calibri" w:hAnsi="Arial" w:cs="Arial"/>
        </w:rPr>
        <w:t xml:space="preserve">This document sets out the policy for Adverse Circumstances Support (ACS). </w:t>
      </w:r>
    </w:p>
    <w:p w14:paraId="11925500" w14:textId="77777777" w:rsidR="00B17B10" w:rsidRDefault="00B17B10" w:rsidP="00B17B10">
      <w:pPr>
        <w:spacing w:after="0" w:line="240" w:lineRule="auto"/>
        <w:rPr>
          <w:rFonts w:ascii="Arial" w:eastAsia="Calibri" w:hAnsi="Arial" w:cs="Arial"/>
        </w:rPr>
      </w:pPr>
    </w:p>
    <w:p w14:paraId="35D38A96" w14:textId="77777777" w:rsidR="00B17B10" w:rsidRDefault="00B17B10" w:rsidP="00B17B10">
      <w:pPr>
        <w:spacing w:after="0" w:line="240" w:lineRule="auto"/>
        <w:rPr>
          <w:rFonts w:ascii="Arial" w:eastAsia="Calibri" w:hAnsi="Arial" w:cs="Arial"/>
        </w:rPr>
      </w:pPr>
      <w:r>
        <w:rPr>
          <w:rFonts w:ascii="Arial" w:eastAsia="Calibri" w:hAnsi="Arial" w:cs="Arial"/>
        </w:rPr>
        <w:t xml:space="preserve">This policy </w:t>
      </w:r>
      <w:r w:rsidRPr="00844EDD">
        <w:rPr>
          <w:rFonts w:ascii="Arial" w:eastAsia="Calibri" w:hAnsi="Arial" w:cs="Arial"/>
        </w:rPr>
        <w:t>support</w:t>
      </w:r>
      <w:r>
        <w:rPr>
          <w:rFonts w:ascii="Arial" w:eastAsia="Calibri" w:hAnsi="Arial" w:cs="Arial"/>
        </w:rPr>
        <w:t>s</w:t>
      </w:r>
      <w:r w:rsidRPr="00844EDD">
        <w:rPr>
          <w:rFonts w:ascii="Arial" w:eastAsia="Calibri" w:hAnsi="Arial" w:cs="Arial"/>
        </w:rPr>
        <w:t xml:space="preserve"> </w:t>
      </w:r>
      <w:r>
        <w:rPr>
          <w:rFonts w:ascii="Arial" w:eastAsia="Calibri" w:hAnsi="Arial" w:cs="Arial"/>
        </w:rPr>
        <w:t>candidates</w:t>
      </w:r>
      <w:r w:rsidRPr="00844EDD">
        <w:rPr>
          <w:rFonts w:ascii="Arial" w:eastAsia="Calibri" w:hAnsi="Arial" w:cs="Arial"/>
        </w:rPr>
        <w:t xml:space="preserve"> who</w:t>
      </w:r>
      <w:r>
        <w:rPr>
          <w:rFonts w:ascii="Arial" w:eastAsia="Calibri" w:hAnsi="Arial" w:cs="Arial"/>
        </w:rPr>
        <w:t xml:space="preserve">se non-question paper external assessments </w:t>
      </w:r>
      <w:r w:rsidRPr="00844EDD">
        <w:rPr>
          <w:rFonts w:ascii="Arial" w:eastAsia="Calibri" w:hAnsi="Arial" w:cs="Arial"/>
        </w:rPr>
        <w:t>have been</w:t>
      </w:r>
      <w:r>
        <w:rPr>
          <w:rFonts w:ascii="Arial" w:eastAsia="Calibri" w:hAnsi="Arial" w:cs="Arial"/>
        </w:rPr>
        <w:t xml:space="preserve"> adversely affected by circumstances out with their control, and</w:t>
      </w:r>
      <w:r w:rsidRPr="00F31F61">
        <w:rPr>
          <w:rFonts w:ascii="Arial" w:eastAsia="Calibri" w:hAnsi="Arial" w:cs="Arial"/>
        </w:rPr>
        <w:t xml:space="preserve"> </w:t>
      </w:r>
      <w:r>
        <w:rPr>
          <w:rFonts w:ascii="Arial" w:eastAsia="Calibri" w:hAnsi="Arial" w:cs="Arial"/>
        </w:rPr>
        <w:t xml:space="preserve">which cannot </w:t>
      </w:r>
      <w:r w:rsidRPr="00F31F61">
        <w:rPr>
          <w:rFonts w:ascii="Arial" w:eastAsia="Calibri" w:hAnsi="Arial" w:cs="Arial"/>
        </w:rPr>
        <w:t xml:space="preserve">be addressed by </w:t>
      </w:r>
      <w:r>
        <w:rPr>
          <w:rFonts w:ascii="Arial" w:eastAsia="Calibri" w:hAnsi="Arial" w:cs="Arial"/>
        </w:rPr>
        <w:t>standard mitigating processes (e.g. by the rearrangement of assessment dates or the granting of an extension).</w:t>
      </w:r>
    </w:p>
    <w:p w14:paraId="0F786F11" w14:textId="77777777" w:rsidR="00B17B10" w:rsidRDefault="00B17B10" w:rsidP="00B17B10">
      <w:pPr>
        <w:spacing w:after="0" w:line="240" w:lineRule="auto"/>
        <w:rPr>
          <w:rFonts w:ascii="Arial" w:eastAsia="Calibri" w:hAnsi="Arial" w:cs="Arial"/>
        </w:rPr>
      </w:pPr>
    </w:p>
    <w:p w14:paraId="1A499919" w14:textId="77777777" w:rsidR="00B17B10" w:rsidRDefault="00B17B10" w:rsidP="00B17B10">
      <w:pPr>
        <w:spacing w:after="0" w:line="240" w:lineRule="auto"/>
        <w:rPr>
          <w:rFonts w:ascii="Arial" w:eastAsia="Calibri" w:hAnsi="Arial" w:cs="Arial"/>
        </w:rPr>
      </w:pPr>
      <w:r>
        <w:rPr>
          <w:rFonts w:ascii="Arial" w:eastAsia="Calibri" w:hAnsi="Arial" w:cs="Arial"/>
        </w:rPr>
        <w:t>ACS</w:t>
      </w:r>
      <w:r w:rsidRPr="73D6CF09">
        <w:rPr>
          <w:rFonts w:ascii="Arial" w:eastAsia="Calibri" w:hAnsi="Arial" w:cs="Arial"/>
        </w:rPr>
        <w:t xml:space="preserve"> covers situations where a</w:t>
      </w:r>
      <w:r>
        <w:rPr>
          <w:rFonts w:ascii="Arial" w:eastAsia="Calibri" w:hAnsi="Arial" w:cs="Arial"/>
        </w:rPr>
        <w:t>n adverse</w:t>
      </w:r>
      <w:r w:rsidRPr="73D6CF09">
        <w:rPr>
          <w:rFonts w:ascii="Arial" w:eastAsia="Calibri" w:hAnsi="Arial" w:cs="Arial"/>
        </w:rPr>
        <w:t xml:space="preserve"> circumstance</w:t>
      </w:r>
      <w:r>
        <w:rPr>
          <w:rFonts w:ascii="Arial" w:eastAsia="Calibri" w:hAnsi="Arial" w:cs="Arial"/>
        </w:rPr>
        <w:t xml:space="preserve"> has had a detrimental </w:t>
      </w:r>
      <w:r w:rsidRPr="73D6CF09">
        <w:rPr>
          <w:rFonts w:ascii="Arial" w:eastAsia="Calibri" w:hAnsi="Arial" w:cs="Arial"/>
        </w:rPr>
        <w:t xml:space="preserve">impact </w:t>
      </w:r>
      <w:r>
        <w:rPr>
          <w:rFonts w:ascii="Arial" w:eastAsia="Calibri" w:hAnsi="Arial" w:cs="Arial"/>
        </w:rPr>
        <w:t xml:space="preserve">on </w:t>
      </w:r>
      <w:r w:rsidRPr="73D6CF09">
        <w:rPr>
          <w:rFonts w:ascii="Arial" w:eastAsia="Calibri" w:hAnsi="Arial" w:cs="Arial"/>
        </w:rPr>
        <w:t xml:space="preserve">a </w:t>
      </w:r>
      <w:r>
        <w:rPr>
          <w:rFonts w:ascii="Arial" w:eastAsia="Calibri" w:hAnsi="Arial" w:cs="Arial"/>
        </w:rPr>
        <w:t>candidate’s</w:t>
      </w:r>
      <w:r w:rsidRPr="73D6CF09">
        <w:rPr>
          <w:rFonts w:ascii="Arial" w:eastAsia="Calibri" w:hAnsi="Arial" w:cs="Arial"/>
        </w:rPr>
        <w:t xml:space="preserve"> performance</w:t>
      </w:r>
      <w:r>
        <w:rPr>
          <w:rFonts w:ascii="Arial" w:eastAsia="Calibri" w:hAnsi="Arial" w:cs="Arial"/>
        </w:rPr>
        <w:t xml:space="preserve"> in or completion of a non-question paper external assessment. </w:t>
      </w:r>
    </w:p>
    <w:p w14:paraId="14831739" w14:textId="77777777" w:rsidR="00B17B10" w:rsidRDefault="00B17B10" w:rsidP="00B17B10">
      <w:pPr>
        <w:spacing w:after="0" w:line="240" w:lineRule="auto"/>
        <w:rPr>
          <w:rFonts w:ascii="Arial" w:eastAsia="Calibri" w:hAnsi="Arial" w:cs="Arial"/>
        </w:rPr>
      </w:pPr>
    </w:p>
    <w:p w14:paraId="041E8F99" w14:textId="77777777" w:rsidR="00B17B10" w:rsidRPr="00E725D3" w:rsidRDefault="00B17B10" w:rsidP="00B17B10">
      <w:pPr>
        <w:rPr>
          <w:rFonts w:ascii="Arial" w:hAnsi="Arial" w:cs="Arial"/>
        </w:rPr>
      </w:pPr>
      <w:r>
        <w:rPr>
          <w:rFonts w:ascii="Arial" w:hAnsi="Arial" w:cs="Arial"/>
        </w:rPr>
        <w:t xml:space="preserve">Examples of </w:t>
      </w:r>
      <w:r w:rsidRPr="00E725D3">
        <w:rPr>
          <w:rFonts w:ascii="Arial" w:hAnsi="Arial" w:cs="Arial"/>
        </w:rPr>
        <w:t>Adverse circumstances</w:t>
      </w:r>
      <w:r>
        <w:rPr>
          <w:rFonts w:ascii="Arial" w:hAnsi="Arial" w:cs="Arial"/>
        </w:rPr>
        <w:t xml:space="preserve"> can</w:t>
      </w:r>
      <w:r w:rsidRPr="00E725D3">
        <w:rPr>
          <w:rFonts w:ascii="Arial" w:hAnsi="Arial" w:cs="Arial"/>
        </w:rPr>
        <w:t xml:space="preserve"> include, but are not limited to:</w:t>
      </w:r>
    </w:p>
    <w:p w14:paraId="2377824D" w14:textId="77777777" w:rsidR="00B17B10" w:rsidRDefault="00B17B10" w:rsidP="00B17B10">
      <w:pPr>
        <w:spacing w:after="0" w:line="240" w:lineRule="auto"/>
        <w:rPr>
          <w:rFonts w:ascii="Arial" w:eastAsia="Calibri" w:hAnsi="Arial" w:cs="Arial"/>
        </w:rPr>
      </w:pPr>
    </w:p>
    <w:p w14:paraId="3ACE93C6" w14:textId="77777777" w:rsidR="00B17B10" w:rsidRPr="005B62E6" w:rsidRDefault="00B17B10" w:rsidP="00B17B10">
      <w:pPr>
        <w:pStyle w:val="ListParagraph"/>
        <w:numPr>
          <w:ilvl w:val="0"/>
          <w:numId w:val="2"/>
        </w:numPr>
        <w:spacing w:after="0" w:line="240" w:lineRule="auto"/>
        <w:rPr>
          <w:rFonts w:ascii="Arial" w:eastAsia="Calibri" w:hAnsi="Arial" w:cs="Arial"/>
        </w:rPr>
      </w:pPr>
      <w:r>
        <w:rPr>
          <w:rFonts w:ascii="Arial" w:hAnsi="Arial" w:cs="Arial"/>
        </w:rPr>
        <w:t>M</w:t>
      </w:r>
      <w:r w:rsidRPr="005B62E6">
        <w:rPr>
          <w:rFonts w:ascii="Arial" w:hAnsi="Arial" w:cs="Arial"/>
        </w:rPr>
        <w:t xml:space="preserve">edical or personal reasons </w:t>
      </w:r>
      <w:r>
        <w:rPr>
          <w:rFonts w:ascii="Arial" w:hAnsi="Arial" w:cs="Arial"/>
        </w:rPr>
        <w:t>–</w:t>
      </w:r>
      <w:r w:rsidRPr="005B62E6">
        <w:rPr>
          <w:rFonts w:ascii="Arial" w:hAnsi="Arial" w:cs="Arial"/>
        </w:rPr>
        <w:t xml:space="preserve"> </w:t>
      </w:r>
      <w:r>
        <w:rPr>
          <w:rFonts w:ascii="Arial" w:hAnsi="Arial" w:cs="Arial"/>
        </w:rPr>
        <w:t xml:space="preserve">e.g. </w:t>
      </w:r>
      <w:r w:rsidRPr="005B62E6">
        <w:rPr>
          <w:rFonts w:ascii="Arial" w:eastAsia="Calibri" w:hAnsi="Arial" w:cs="Arial"/>
        </w:rPr>
        <w:t xml:space="preserve">where a </w:t>
      </w:r>
      <w:r>
        <w:rPr>
          <w:rFonts w:ascii="Arial" w:eastAsia="Calibri" w:hAnsi="Arial" w:cs="Arial"/>
        </w:rPr>
        <w:t>candidate’</w:t>
      </w:r>
      <w:r w:rsidRPr="005B62E6">
        <w:rPr>
          <w:rFonts w:ascii="Arial" w:eastAsia="Calibri" w:hAnsi="Arial" w:cs="Arial"/>
        </w:rPr>
        <w:t>s completion of a coursework component has been affected due to illness or bereavement, and this cannot be addressed by the centre requesting an extension from SQA.</w:t>
      </w:r>
    </w:p>
    <w:p w14:paraId="2207D791" w14:textId="77777777" w:rsidR="00B17B10" w:rsidRDefault="00B17B10" w:rsidP="00B17B10">
      <w:pPr>
        <w:spacing w:after="0" w:line="240" w:lineRule="auto"/>
        <w:rPr>
          <w:rFonts w:ascii="Arial" w:eastAsia="Calibri" w:hAnsi="Arial" w:cs="Arial"/>
          <w:b/>
          <w:bCs/>
          <w:sz w:val="24"/>
          <w:szCs w:val="24"/>
        </w:rPr>
      </w:pPr>
    </w:p>
    <w:p w14:paraId="21E597D7" w14:textId="77777777" w:rsidR="00B17B10" w:rsidRPr="005B62E6" w:rsidRDefault="00B17B10" w:rsidP="00B17B10">
      <w:pPr>
        <w:pStyle w:val="ListParagraph"/>
        <w:numPr>
          <w:ilvl w:val="0"/>
          <w:numId w:val="2"/>
        </w:numPr>
        <w:rPr>
          <w:rFonts w:ascii="Arial" w:hAnsi="Arial" w:cs="Arial"/>
        </w:rPr>
      </w:pPr>
      <w:r w:rsidRPr="0D0DAD6B">
        <w:rPr>
          <w:rFonts w:ascii="Arial" w:hAnsi="Arial" w:cs="Arial"/>
        </w:rPr>
        <w:t xml:space="preserve">Significant </w:t>
      </w:r>
      <w:r>
        <w:rPr>
          <w:rFonts w:ascii="Arial" w:hAnsi="Arial" w:cs="Arial"/>
        </w:rPr>
        <w:t>d</w:t>
      </w:r>
      <w:r w:rsidRPr="00E725D3">
        <w:rPr>
          <w:rFonts w:ascii="Arial" w:hAnsi="Arial" w:cs="Arial"/>
        </w:rPr>
        <w:t>isturbances or interruptions during the assessment</w:t>
      </w:r>
      <w:r>
        <w:rPr>
          <w:rFonts w:ascii="Arial" w:hAnsi="Arial" w:cs="Arial"/>
        </w:rPr>
        <w:t xml:space="preserve"> – e.g. </w:t>
      </w:r>
      <w:r w:rsidRPr="005B62E6">
        <w:rPr>
          <w:rFonts w:ascii="Arial" w:eastAsia="Calibri" w:hAnsi="Arial" w:cs="Arial"/>
        </w:rPr>
        <w:t xml:space="preserve">where a </w:t>
      </w:r>
      <w:r>
        <w:rPr>
          <w:rFonts w:ascii="Arial" w:eastAsia="Calibri" w:hAnsi="Arial" w:cs="Arial"/>
        </w:rPr>
        <w:t>candidate</w:t>
      </w:r>
      <w:r w:rsidRPr="005B62E6">
        <w:rPr>
          <w:rFonts w:ascii="Arial" w:eastAsia="Calibri" w:hAnsi="Arial" w:cs="Arial"/>
        </w:rPr>
        <w:t xml:space="preserve">’s visiting assessment has been </w:t>
      </w:r>
      <w:r>
        <w:rPr>
          <w:rFonts w:ascii="Arial" w:eastAsia="Calibri" w:hAnsi="Arial" w:cs="Arial"/>
        </w:rPr>
        <w:t xml:space="preserve">severely </w:t>
      </w:r>
      <w:r w:rsidRPr="005B62E6">
        <w:rPr>
          <w:rFonts w:ascii="Arial" w:eastAsia="Calibri" w:hAnsi="Arial" w:cs="Arial"/>
        </w:rPr>
        <w:t>disrupted</w:t>
      </w:r>
      <w:r>
        <w:rPr>
          <w:rFonts w:ascii="Arial" w:eastAsia="Calibri" w:hAnsi="Arial" w:cs="Arial"/>
        </w:rPr>
        <w:t xml:space="preserve"> </w:t>
      </w:r>
      <w:r w:rsidRPr="005B62E6">
        <w:rPr>
          <w:rFonts w:ascii="Arial" w:eastAsia="Calibri" w:hAnsi="Arial" w:cs="Arial"/>
        </w:rPr>
        <w:t>by equipment malfunction</w:t>
      </w:r>
      <w:r w:rsidRPr="0D0DAD6B">
        <w:rPr>
          <w:rFonts w:ascii="Arial" w:eastAsia="Calibri" w:hAnsi="Arial" w:cs="Arial"/>
        </w:rPr>
        <w:t>,</w:t>
      </w:r>
      <w:r>
        <w:rPr>
          <w:rFonts w:ascii="Arial" w:eastAsia="Calibri" w:hAnsi="Arial" w:cs="Arial"/>
        </w:rPr>
        <w:t xml:space="preserve"> </w:t>
      </w:r>
      <w:r w:rsidRPr="005B62E6">
        <w:rPr>
          <w:rFonts w:ascii="Arial" w:eastAsia="Calibri" w:hAnsi="Arial" w:cs="Arial"/>
        </w:rPr>
        <w:t>external noise</w:t>
      </w:r>
      <w:r w:rsidRPr="0D0DAD6B">
        <w:rPr>
          <w:rFonts w:ascii="Arial" w:eastAsia="Calibri" w:hAnsi="Arial" w:cs="Arial"/>
        </w:rPr>
        <w:t xml:space="preserve"> or </w:t>
      </w:r>
      <w:r w:rsidRPr="005B62E6">
        <w:rPr>
          <w:rFonts w:ascii="Arial" w:eastAsia="Calibri" w:hAnsi="Arial" w:cs="Arial"/>
        </w:rPr>
        <w:t>candidate illness and cannot be rescheduled</w:t>
      </w:r>
      <w:r>
        <w:rPr>
          <w:rFonts w:ascii="Arial" w:eastAsia="Calibri" w:hAnsi="Arial" w:cs="Arial"/>
        </w:rPr>
        <w:t>.</w:t>
      </w:r>
    </w:p>
    <w:p w14:paraId="7FFED57D" w14:textId="77777777" w:rsidR="00B17B10" w:rsidRDefault="00B17B10" w:rsidP="00B17B10">
      <w:pPr>
        <w:spacing w:after="0" w:line="240" w:lineRule="auto"/>
        <w:rPr>
          <w:rFonts w:ascii="Arial" w:eastAsia="Calibri" w:hAnsi="Arial" w:cs="Arial"/>
        </w:rPr>
      </w:pPr>
    </w:p>
    <w:p w14:paraId="6E511A10" w14:textId="77777777" w:rsidR="00B17B10" w:rsidRPr="00AD043E" w:rsidRDefault="00B17B10" w:rsidP="00B17B10">
      <w:pPr>
        <w:tabs>
          <w:tab w:val="left" w:pos="357"/>
          <w:tab w:val="left" w:pos="567"/>
        </w:tabs>
        <w:suppressAutoHyphens/>
        <w:spacing w:after="280" w:line="280" w:lineRule="atLeast"/>
        <w:rPr>
          <w:rFonts w:ascii="Arial" w:eastAsia="Calibri" w:hAnsi="Arial" w:cs="Arial"/>
          <w:b/>
          <w:bCs/>
          <w:kern w:val="28"/>
          <w:sz w:val="36"/>
          <w:szCs w:val="36"/>
          <w:lang w:eastAsia="en-GB"/>
        </w:rPr>
      </w:pPr>
      <w:r>
        <w:rPr>
          <w:rFonts w:ascii="Arial" w:eastAsia="Calibri" w:hAnsi="Arial" w:cs="Arial"/>
          <w:b/>
          <w:bCs/>
          <w:kern w:val="28"/>
          <w:sz w:val="36"/>
          <w:szCs w:val="36"/>
          <w:lang w:eastAsia="en-GB"/>
        </w:rPr>
        <w:t>2</w:t>
      </w:r>
      <w:r w:rsidRPr="00AD043E">
        <w:rPr>
          <w:rFonts w:ascii="Arial" w:eastAsia="Calibri" w:hAnsi="Arial" w:cs="Arial"/>
          <w:b/>
          <w:bCs/>
          <w:kern w:val="28"/>
          <w:sz w:val="36"/>
          <w:szCs w:val="36"/>
          <w:lang w:eastAsia="en-GB"/>
        </w:rPr>
        <w:t xml:space="preserve">. Eligibility </w:t>
      </w:r>
    </w:p>
    <w:p w14:paraId="3861C92E" w14:textId="77777777" w:rsidR="00B17B10" w:rsidRPr="00745D84" w:rsidRDefault="00B17B10" w:rsidP="00B17B10">
      <w:pPr>
        <w:tabs>
          <w:tab w:val="left" w:pos="357"/>
          <w:tab w:val="left" w:pos="567"/>
        </w:tabs>
        <w:suppressAutoHyphens/>
        <w:spacing w:after="280" w:line="280" w:lineRule="atLeast"/>
        <w:rPr>
          <w:rFonts w:ascii="Arial" w:eastAsia="Times New Roman" w:hAnsi="Arial" w:cs="Arial"/>
          <w:szCs w:val="24"/>
          <w:lang w:eastAsia="en-GB"/>
        </w:rPr>
      </w:pPr>
      <w:bookmarkStart w:id="0" w:name="_Hlk207890515"/>
      <w:r>
        <w:rPr>
          <w:rFonts w:ascii="Arial" w:eastAsia="Times New Roman" w:hAnsi="Arial" w:cs="Arial"/>
          <w:szCs w:val="24"/>
          <w:lang w:eastAsia="en-GB"/>
        </w:rPr>
        <w:t xml:space="preserve">A candidate is eligible for consideration for Adverse Circumstances Support </w:t>
      </w:r>
      <w:r w:rsidRPr="00745D84">
        <w:rPr>
          <w:rFonts w:ascii="Arial" w:eastAsia="Times New Roman" w:hAnsi="Arial" w:cs="Arial"/>
          <w:szCs w:val="24"/>
          <w:lang w:eastAsia="en-GB"/>
        </w:rPr>
        <w:t>where:</w:t>
      </w:r>
    </w:p>
    <w:p w14:paraId="1A6FBCCF" w14:textId="77777777" w:rsidR="00B17B10" w:rsidRPr="005727C1" w:rsidRDefault="00B17B10" w:rsidP="00B17B10">
      <w:pPr>
        <w:pStyle w:val="ListParagraph"/>
        <w:numPr>
          <w:ilvl w:val="0"/>
          <w:numId w:val="4"/>
        </w:numPr>
        <w:spacing w:after="0" w:line="240" w:lineRule="auto"/>
        <w:rPr>
          <w:rFonts w:ascii="Arial" w:eastAsia="Times New Roman" w:hAnsi="Arial" w:cs="Arial"/>
          <w:szCs w:val="24"/>
          <w:lang w:eastAsia="en-GB"/>
        </w:rPr>
      </w:pPr>
      <w:r w:rsidRPr="005727C1">
        <w:rPr>
          <w:rFonts w:ascii="Arial" w:eastAsia="Times New Roman" w:hAnsi="Arial" w:cs="Arial"/>
          <w:szCs w:val="24"/>
          <w:lang w:eastAsia="en-GB"/>
        </w:rPr>
        <w:lastRenderedPageBreak/>
        <w:t xml:space="preserve">they have experienced an </w:t>
      </w:r>
      <w:r w:rsidRPr="005727C1">
        <w:rPr>
          <w:rFonts w:ascii="Arial" w:eastAsia="Calibri" w:hAnsi="Arial" w:cs="Arial"/>
        </w:rPr>
        <w:t xml:space="preserve">adverse circumstance </w:t>
      </w:r>
      <w:r w:rsidRPr="005727C1">
        <w:rPr>
          <w:rFonts w:ascii="Arial" w:eastAsia="Times New Roman" w:hAnsi="Arial" w:cs="Arial"/>
          <w:szCs w:val="24"/>
          <w:lang w:eastAsia="en-GB"/>
        </w:rPr>
        <w:t>during their undertaking of a non-question paper external assessment and standard mitigating processes cannot be enacted</w:t>
      </w:r>
    </w:p>
    <w:p w14:paraId="4BAB1589" w14:textId="77777777" w:rsidR="00B17B10" w:rsidRPr="00A10D6C" w:rsidRDefault="00B17B10" w:rsidP="00B17B10">
      <w:pPr>
        <w:pStyle w:val="ListParagraph"/>
        <w:numPr>
          <w:ilvl w:val="0"/>
          <w:numId w:val="3"/>
        </w:numPr>
        <w:suppressAutoHyphens/>
        <w:spacing w:after="280" w:line="280" w:lineRule="atLeast"/>
        <w:rPr>
          <w:rFonts w:ascii="Arial" w:eastAsia="Times New Roman" w:hAnsi="Arial" w:cs="Arial"/>
          <w:szCs w:val="24"/>
          <w:lang w:eastAsia="en-GB"/>
        </w:rPr>
      </w:pPr>
      <w:r w:rsidRPr="00A10D6C">
        <w:rPr>
          <w:rFonts w:ascii="Arial" w:eastAsia="Times New Roman" w:hAnsi="Arial" w:cs="Arial"/>
          <w:szCs w:val="24"/>
          <w:lang w:eastAsia="en-GB"/>
        </w:rPr>
        <w:t>an estimate has been submitted for them</w:t>
      </w:r>
    </w:p>
    <w:p w14:paraId="7D65F56B" w14:textId="77777777" w:rsidR="00B17B10" w:rsidRDefault="00B17B10" w:rsidP="00B17B10">
      <w:pPr>
        <w:pStyle w:val="ListParagraph"/>
        <w:numPr>
          <w:ilvl w:val="0"/>
          <w:numId w:val="3"/>
        </w:numPr>
        <w:suppressAutoHyphens/>
        <w:spacing w:after="280" w:line="280" w:lineRule="atLeast"/>
        <w:rPr>
          <w:rFonts w:ascii="Arial" w:eastAsia="Times New Roman" w:hAnsi="Arial" w:cs="Arial"/>
          <w:szCs w:val="24"/>
          <w:lang w:eastAsia="en-GB"/>
        </w:rPr>
      </w:pPr>
      <w:r>
        <w:rPr>
          <w:rFonts w:ascii="Arial" w:eastAsia="Times New Roman" w:hAnsi="Arial" w:cs="Arial"/>
          <w:szCs w:val="24"/>
          <w:lang w:eastAsia="en-GB"/>
        </w:rPr>
        <w:t xml:space="preserve">relevant </w:t>
      </w:r>
      <w:r w:rsidRPr="00A10D6C">
        <w:rPr>
          <w:rFonts w:ascii="Arial" w:eastAsia="Times New Roman" w:hAnsi="Arial" w:cs="Arial"/>
          <w:szCs w:val="24"/>
          <w:lang w:eastAsia="en-GB"/>
        </w:rPr>
        <w:t>alternative evidence</w:t>
      </w:r>
      <w:r>
        <w:rPr>
          <w:rFonts w:ascii="Arial" w:eastAsia="Times New Roman" w:hAnsi="Arial" w:cs="Arial"/>
          <w:szCs w:val="24"/>
          <w:lang w:eastAsia="en-GB"/>
        </w:rPr>
        <w:t xml:space="preserve"> </w:t>
      </w:r>
      <w:r w:rsidRPr="00A10D6C">
        <w:rPr>
          <w:rFonts w:ascii="Arial" w:eastAsia="Times New Roman" w:hAnsi="Arial" w:cs="Arial"/>
          <w:szCs w:val="24"/>
          <w:lang w:eastAsia="en-GB"/>
        </w:rPr>
        <w:t>is available</w:t>
      </w:r>
      <w:r>
        <w:rPr>
          <w:rFonts w:ascii="Arial" w:eastAsia="Times New Roman" w:hAnsi="Arial" w:cs="Arial"/>
          <w:szCs w:val="24"/>
          <w:lang w:eastAsia="en-GB"/>
        </w:rPr>
        <w:t xml:space="preserve"> </w:t>
      </w:r>
    </w:p>
    <w:bookmarkEnd w:id="0"/>
    <w:p w14:paraId="4B85031B" w14:textId="77777777" w:rsidR="00B17B10" w:rsidRPr="00CF4327" w:rsidRDefault="00B17B10" w:rsidP="00B17B10">
      <w:pPr>
        <w:spacing w:after="0" w:line="240" w:lineRule="auto"/>
        <w:rPr>
          <w:rFonts w:ascii="Arial" w:eastAsia="Calibri" w:hAnsi="Arial" w:cs="Arial"/>
          <w:b/>
          <w:bCs/>
        </w:rPr>
      </w:pPr>
      <w:r w:rsidRPr="00CC0A6E">
        <w:rPr>
          <w:rFonts w:ascii="Arial" w:eastAsia="Calibri" w:hAnsi="Arial" w:cs="Arial"/>
          <w:b/>
          <w:bCs/>
          <w:kern w:val="28"/>
          <w:sz w:val="36"/>
          <w:szCs w:val="36"/>
          <w:lang w:eastAsia="en-GB"/>
        </w:rPr>
        <w:t xml:space="preserve">3. </w:t>
      </w:r>
      <w:r w:rsidRPr="002B4E99">
        <w:rPr>
          <w:rFonts w:ascii="Arial" w:eastAsia="SimSun" w:hAnsi="Arial" w:cs="Times New Roman"/>
          <w:b/>
          <w:kern w:val="28"/>
          <w:sz w:val="24"/>
          <w:szCs w:val="24"/>
          <w:lang w:val="en-US" w:bidi="en-US"/>
        </w:rPr>
        <w:t xml:space="preserve"> </w:t>
      </w:r>
      <w:r w:rsidRPr="005727C1">
        <w:rPr>
          <w:rFonts w:ascii="Arial" w:eastAsia="SimSun" w:hAnsi="Arial" w:cs="Times New Roman"/>
          <w:b/>
          <w:kern w:val="28"/>
          <w:sz w:val="24"/>
          <w:szCs w:val="24"/>
          <w:lang w:val="en-US" w:bidi="en-US"/>
        </w:rPr>
        <w:t xml:space="preserve">How ACS </w:t>
      </w:r>
      <w:r>
        <w:rPr>
          <w:rFonts w:ascii="Arial" w:eastAsia="SimSun" w:hAnsi="Arial" w:cs="Times New Roman"/>
          <w:b/>
          <w:kern w:val="28"/>
          <w:sz w:val="24"/>
          <w:szCs w:val="24"/>
          <w:lang w:val="en-US" w:bidi="en-US"/>
        </w:rPr>
        <w:t>cases</w:t>
      </w:r>
      <w:r w:rsidRPr="005727C1">
        <w:rPr>
          <w:rFonts w:ascii="Arial" w:eastAsia="SimSun" w:hAnsi="Arial" w:cs="Times New Roman"/>
          <w:b/>
          <w:kern w:val="28"/>
          <w:sz w:val="24"/>
          <w:szCs w:val="24"/>
          <w:lang w:val="en-US" w:bidi="en-US"/>
        </w:rPr>
        <w:t xml:space="preserve"> are reviewed</w:t>
      </w:r>
    </w:p>
    <w:p w14:paraId="48D4F8C0" w14:textId="77777777" w:rsidR="00B17B10" w:rsidRPr="002B4E99" w:rsidRDefault="00B17B10" w:rsidP="00B17B10">
      <w:pPr>
        <w:spacing w:after="0" w:line="240" w:lineRule="auto"/>
        <w:rPr>
          <w:rFonts w:ascii="Arial" w:eastAsia="Calibri" w:hAnsi="Arial" w:cs="Arial"/>
          <w:highlight w:val="yellow"/>
        </w:rPr>
      </w:pPr>
    </w:p>
    <w:p w14:paraId="2D57C4B4" w14:textId="77777777" w:rsidR="00B17B10" w:rsidRDefault="00B17B10" w:rsidP="00B17B10">
      <w:pPr>
        <w:spacing w:after="0" w:line="240" w:lineRule="auto"/>
        <w:rPr>
          <w:rFonts w:ascii="Arial" w:eastAsia="Calibri" w:hAnsi="Arial" w:cs="Arial"/>
        </w:rPr>
      </w:pPr>
    </w:p>
    <w:p w14:paraId="1B21F6E6" w14:textId="77777777" w:rsidR="00B17B10" w:rsidRDefault="00B17B10" w:rsidP="00B17B10">
      <w:pPr>
        <w:spacing w:after="0" w:line="240" w:lineRule="auto"/>
        <w:rPr>
          <w:rFonts w:ascii="Arial" w:eastAsia="Calibri" w:hAnsi="Arial" w:cs="Arial"/>
        </w:rPr>
      </w:pPr>
      <w:r w:rsidRPr="00EB7FE7">
        <w:rPr>
          <w:rFonts w:ascii="Arial" w:eastAsia="Calibri" w:hAnsi="Arial" w:cs="Arial"/>
        </w:rPr>
        <w:t xml:space="preserve">All learners who believe they are eligible for </w:t>
      </w:r>
      <w:r>
        <w:rPr>
          <w:rFonts w:ascii="Arial" w:eastAsia="Calibri" w:hAnsi="Arial" w:cs="Arial"/>
        </w:rPr>
        <w:t>Adverse C</w:t>
      </w:r>
      <w:r w:rsidRPr="00EB7FE7">
        <w:rPr>
          <w:rFonts w:ascii="Arial" w:eastAsia="Calibri" w:hAnsi="Arial" w:cs="Arial"/>
        </w:rPr>
        <w:t xml:space="preserve">ircumstances </w:t>
      </w:r>
      <w:r>
        <w:rPr>
          <w:rFonts w:ascii="Arial" w:eastAsia="Calibri" w:hAnsi="Arial" w:cs="Arial"/>
        </w:rPr>
        <w:t xml:space="preserve">Support </w:t>
      </w:r>
      <w:r w:rsidRPr="00EB7FE7">
        <w:rPr>
          <w:rFonts w:ascii="Arial" w:eastAsia="Calibri" w:hAnsi="Arial" w:cs="Arial"/>
        </w:rPr>
        <w:t>have the right to</w:t>
      </w:r>
      <w:r>
        <w:rPr>
          <w:rFonts w:ascii="Arial" w:eastAsia="Calibri" w:hAnsi="Arial" w:cs="Arial"/>
        </w:rPr>
        <w:t xml:space="preserve"> </w:t>
      </w:r>
      <w:r w:rsidRPr="00EB7FE7">
        <w:rPr>
          <w:rFonts w:ascii="Arial" w:eastAsia="Calibri" w:hAnsi="Arial" w:cs="Arial"/>
        </w:rPr>
        <w:t>request that their centre considers submitting a request on their behalf.</w:t>
      </w:r>
      <w:r>
        <w:rPr>
          <w:rFonts w:ascii="Arial" w:eastAsia="Calibri" w:hAnsi="Arial" w:cs="Arial"/>
        </w:rPr>
        <w:t xml:space="preserve"> </w:t>
      </w:r>
      <w:r w:rsidRPr="00EB7FE7">
        <w:rPr>
          <w:rFonts w:ascii="Arial" w:eastAsia="Calibri" w:hAnsi="Arial" w:cs="Arial"/>
        </w:rPr>
        <w:t>Learners must consent to a request being submitted on their behalf to SQA. Prior to gaining</w:t>
      </w:r>
      <w:r>
        <w:rPr>
          <w:rFonts w:ascii="Arial" w:eastAsia="Calibri" w:hAnsi="Arial" w:cs="Arial"/>
        </w:rPr>
        <w:t xml:space="preserve"> </w:t>
      </w:r>
      <w:r w:rsidRPr="00EB7FE7">
        <w:rPr>
          <w:rFonts w:ascii="Arial" w:eastAsia="Calibri" w:hAnsi="Arial" w:cs="Arial"/>
        </w:rPr>
        <w:t>a learner’s consent, centres must ensure that they have informed learners of the eligibility</w:t>
      </w:r>
      <w:r>
        <w:rPr>
          <w:rFonts w:ascii="Arial" w:eastAsia="Calibri" w:hAnsi="Arial" w:cs="Arial"/>
        </w:rPr>
        <w:t xml:space="preserve"> </w:t>
      </w:r>
      <w:r w:rsidRPr="00EB7FE7">
        <w:rPr>
          <w:rFonts w:ascii="Arial" w:eastAsia="Calibri" w:hAnsi="Arial" w:cs="Arial"/>
        </w:rPr>
        <w:t>conditions related to</w:t>
      </w:r>
      <w:r>
        <w:rPr>
          <w:rFonts w:ascii="Arial" w:eastAsia="Calibri" w:hAnsi="Arial" w:cs="Arial"/>
        </w:rPr>
        <w:t xml:space="preserve"> Adverse Circumstances Support</w:t>
      </w:r>
      <w:r w:rsidRPr="00EB7FE7">
        <w:rPr>
          <w:rFonts w:ascii="Arial" w:eastAsia="Calibri" w:hAnsi="Arial" w:cs="Arial"/>
        </w:rPr>
        <w:t>. Requests sent directly from learners or parents</w:t>
      </w:r>
      <w:r>
        <w:rPr>
          <w:rFonts w:ascii="Arial" w:eastAsia="Calibri" w:hAnsi="Arial" w:cs="Arial"/>
        </w:rPr>
        <w:t xml:space="preserve"> </w:t>
      </w:r>
      <w:r w:rsidRPr="00EB7FE7">
        <w:rPr>
          <w:rFonts w:ascii="Arial" w:eastAsia="Calibri" w:hAnsi="Arial" w:cs="Arial"/>
        </w:rPr>
        <w:t>will not be accepted by SQA.</w:t>
      </w:r>
    </w:p>
    <w:p w14:paraId="0109904D" w14:textId="77777777" w:rsidR="00B17B10" w:rsidRDefault="00B17B10" w:rsidP="00B17B10">
      <w:pPr>
        <w:spacing w:after="0" w:line="240" w:lineRule="auto"/>
        <w:rPr>
          <w:rFonts w:ascii="Arial" w:eastAsia="Calibri" w:hAnsi="Arial" w:cs="Arial"/>
        </w:rPr>
      </w:pPr>
    </w:p>
    <w:p w14:paraId="66F19D08" w14:textId="38CD689E" w:rsidR="00B17B10" w:rsidRDefault="00B17B10" w:rsidP="00B17B10">
      <w:pPr>
        <w:spacing w:after="0" w:line="240" w:lineRule="auto"/>
        <w:rPr>
          <w:rFonts w:ascii="Arial" w:eastAsia="Calibri" w:hAnsi="Arial" w:cs="Arial"/>
        </w:rPr>
      </w:pPr>
      <w:r w:rsidRPr="00760105">
        <w:rPr>
          <w:rFonts w:ascii="Arial" w:eastAsia="Calibri" w:hAnsi="Arial" w:cs="Arial"/>
        </w:rPr>
        <w:t xml:space="preserve">Cases received will be processed </w:t>
      </w:r>
      <w:r w:rsidR="00557CC9">
        <w:rPr>
          <w:rFonts w:ascii="Arial" w:eastAsia="Calibri" w:hAnsi="Arial" w:cs="Arial"/>
        </w:rPr>
        <w:t xml:space="preserve">by SQA </w:t>
      </w:r>
      <w:r w:rsidRPr="00760105">
        <w:rPr>
          <w:rFonts w:ascii="Arial" w:eastAsia="Calibri" w:hAnsi="Arial" w:cs="Arial"/>
        </w:rPr>
        <w:t>staff who will check the case meets the eligibility criteria before sending cases to a senior examiner, normally the Principal Assessor, for review.</w:t>
      </w:r>
    </w:p>
    <w:p w14:paraId="5E222B8D" w14:textId="77777777" w:rsidR="00B17B10" w:rsidRPr="000E20F3" w:rsidRDefault="00B17B10" w:rsidP="00B17B10">
      <w:pPr>
        <w:spacing w:after="0" w:line="240" w:lineRule="auto"/>
        <w:rPr>
          <w:rFonts w:ascii="Arial" w:eastAsia="Calibri" w:hAnsi="Arial" w:cs="Arial"/>
        </w:rPr>
      </w:pPr>
    </w:p>
    <w:p w14:paraId="5FED97E3" w14:textId="77777777" w:rsidR="00B17B10" w:rsidRDefault="00B17B10" w:rsidP="00B17B10">
      <w:pPr>
        <w:spacing w:line="240" w:lineRule="auto"/>
        <w:rPr>
          <w:rFonts w:ascii="Arial" w:eastAsia="Times New Roman" w:hAnsi="Arial" w:cs="Arial"/>
          <w:lang w:eastAsia="en-GB"/>
        </w:rPr>
      </w:pPr>
      <w:r w:rsidRPr="40441C49">
        <w:rPr>
          <w:rFonts w:ascii="Arial" w:eastAsia="Times New Roman" w:hAnsi="Arial" w:cs="Arial"/>
          <w:lang w:eastAsia="en-GB"/>
        </w:rPr>
        <w:t xml:space="preserve">Examiners will be provided with the </w:t>
      </w:r>
      <w:r>
        <w:rPr>
          <w:rFonts w:ascii="Arial" w:eastAsia="Calibri" w:hAnsi="Arial" w:cs="Arial"/>
        </w:rPr>
        <w:t>candidate</w:t>
      </w:r>
      <w:r w:rsidRPr="40441C49">
        <w:rPr>
          <w:rFonts w:ascii="Arial" w:eastAsia="Times New Roman" w:hAnsi="Arial" w:cs="Arial"/>
          <w:lang w:eastAsia="en-GB"/>
        </w:rPr>
        <w:t xml:space="preserve">’s </w:t>
      </w:r>
      <w:proofErr w:type="gramStart"/>
      <w:r w:rsidRPr="40441C49">
        <w:rPr>
          <w:rFonts w:ascii="Arial" w:eastAsia="Times New Roman" w:hAnsi="Arial" w:cs="Arial"/>
          <w:lang w:eastAsia="en-GB"/>
        </w:rPr>
        <w:t>estimate,</w:t>
      </w:r>
      <w:proofErr w:type="gramEnd"/>
      <w:r w:rsidRPr="40441C49">
        <w:rPr>
          <w:rFonts w:ascii="Arial" w:eastAsia="Times New Roman" w:hAnsi="Arial" w:cs="Arial"/>
          <w:lang w:eastAsia="en-GB"/>
        </w:rPr>
        <w:t xml:space="preserve"> </w:t>
      </w:r>
      <w:r>
        <w:rPr>
          <w:rFonts w:ascii="Arial" w:eastAsia="Times New Roman" w:hAnsi="Arial" w:cs="Arial"/>
          <w:lang w:eastAsia="en-GB"/>
        </w:rPr>
        <w:t xml:space="preserve">alternative </w:t>
      </w:r>
      <w:r w:rsidRPr="40441C49">
        <w:rPr>
          <w:rFonts w:ascii="Arial" w:eastAsia="Times New Roman" w:hAnsi="Arial" w:cs="Arial"/>
          <w:lang w:eastAsia="en-GB"/>
        </w:rPr>
        <w:t>academic evidence</w:t>
      </w:r>
      <w:r>
        <w:rPr>
          <w:rFonts w:ascii="Arial" w:eastAsia="Times New Roman" w:hAnsi="Arial" w:cs="Arial"/>
          <w:lang w:eastAsia="en-GB"/>
        </w:rPr>
        <w:t xml:space="preserve"> and </w:t>
      </w:r>
      <w:r w:rsidRPr="40441C49">
        <w:rPr>
          <w:rFonts w:ascii="Arial" w:eastAsia="Times New Roman" w:hAnsi="Arial" w:cs="Arial"/>
          <w:lang w:eastAsia="en-GB"/>
        </w:rPr>
        <w:t>any</w:t>
      </w:r>
      <w:r>
        <w:rPr>
          <w:rFonts w:ascii="Arial" w:eastAsia="Times New Roman" w:hAnsi="Arial" w:cs="Arial"/>
          <w:lang w:eastAsia="en-GB"/>
        </w:rPr>
        <w:t xml:space="preserve"> other</w:t>
      </w:r>
      <w:r w:rsidRPr="40441C49">
        <w:rPr>
          <w:rFonts w:ascii="Arial" w:eastAsia="Times New Roman" w:hAnsi="Arial" w:cs="Arial"/>
          <w:lang w:eastAsia="en-GB"/>
        </w:rPr>
        <w:t xml:space="preserve"> relevant materials related to the request. </w:t>
      </w:r>
    </w:p>
    <w:p w14:paraId="38E8CD3C" w14:textId="77777777" w:rsidR="00B17B10" w:rsidRDefault="00B17B10" w:rsidP="00B17B10">
      <w:pPr>
        <w:spacing w:line="240" w:lineRule="auto"/>
        <w:rPr>
          <w:rFonts w:ascii="Arial" w:hAnsi="Arial" w:cs="Arial"/>
          <w:lang w:eastAsia="en-GB"/>
        </w:rPr>
      </w:pPr>
      <w:r w:rsidRPr="56614599">
        <w:rPr>
          <w:rFonts w:ascii="Arial" w:eastAsia="Times New Roman" w:hAnsi="Arial" w:cs="Arial"/>
          <w:lang w:eastAsia="en-GB" w:bidi="en-US"/>
        </w:rPr>
        <w:t xml:space="preserve">Examiners will review </w:t>
      </w:r>
      <w:r>
        <w:rPr>
          <w:rFonts w:ascii="Arial" w:eastAsia="Times New Roman" w:hAnsi="Arial" w:cs="Arial"/>
          <w:lang w:eastAsia="en-GB" w:bidi="en-US"/>
        </w:rPr>
        <w:t xml:space="preserve">the available evidence and materials </w:t>
      </w:r>
      <w:r w:rsidRPr="56614599">
        <w:rPr>
          <w:rFonts w:ascii="Arial" w:eastAsia="Times New Roman" w:hAnsi="Arial" w:cs="Arial"/>
          <w:lang w:eastAsia="en-GB" w:bidi="en-US"/>
        </w:rPr>
        <w:t xml:space="preserve">and award </w:t>
      </w:r>
      <w:r>
        <w:rPr>
          <w:rFonts w:ascii="Arial" w:eastAsia="Times New Roman" w:hAnsi="Arial" w:cs="Arial"/>
          <w:lang w:eastAsia="en-GB" w:bidi="en-US"/>
        </w:rPr>
        <w:t xml:space="preserve">a grade </w:t>
      </w:r>
      <w:r w:rsidRPr="56614599">
        <w:rPr>
          <w:rFonts w:ascii="Arial" w:eastAsia="Times New Roman" w:hAnsi="Arial" w:cs="Arial"/>
          <w:lang w:eastAsia="en-GB" w:bidi="en-US"/>
        </w:rPr>
        <w:t>subject to the following conditions:</w:t>
      </w:r>
      <w:r w:rsidRPr="00FD1F44">
        <w:rPr>
          <w:rFonts w:ascii="Arial" w:hAnsi="Arial" w:cs="Arial"/>
          <w:lang w:eastAsia="en-GB"/>
        </w:rPr>
        <w:t xml:space="preserve"> </w:t>
      </w:r>
    </w:p>
    <w:p w14:paraId="5616549B" w14:textId="77777777" w:rsidR="00B17B10" w:rsidRPr="00FD1F44" w:rsidRDefault="00B17B10" w:rsidP="00B17B10">
      <w:pPr>
        <w:pStyle w:val="ListParagraph"/>
        <w:numPr>
          <w:ilvl w:val="0"/>
          <w:numId w:val="6"/>
        </w:numPr>
        <w:spacing w:line="240" w:lineRule="auto"/>
        <w:rPr>
          <w:rFonts w:ascii="Arial" w:eastAsia="Times New Roman" w:hAnsi="Arial" w:cs="Arial"/>
          <w:lang w:eastAsia="en-GB" w:bidi="en-US"/>
        </w:rPr>
      </w:pPr>
      <w:r w:rsidRPr="00FD1F44">
        <w:rPr>
          <w:rFonts w:ascii="Arial" w:eastAsia="Times New Roman" w:hAnsi="Arial" w:cs="Arial"/>
          <w:lang w:eastAsia="en-GB" w:bidi="en-US"/>
        </w:rPr>
        <w:t xml:space="preserve">Where the </w:t>
      </w:r>
      <w:r>
        <w:rPr>
          <w:rFonts w:ascii="Arial" w:eastAsia="Calibri" w:hAnsi="Arial" w:cs="Arial"/>
        </w:rPr>
        <w:t>candidate</w:t>
      </w:r>
      <w:r w:rsidRPr="00FD1F44">
        <w:rPr>
          <w:rFonts w:ascii="Arial" w:eastAsia="Times New Roman" w:hAnsi="Arial" w:cs="Arial"/>
          <w:lang w:eastAsia="en-GB" w:bidi="en-US"/>
        </w:rPr>
        <w:t xml:space="preserve"> has not managed to attend or complete any parts </w:t>
      </w:r>
      <w:r>
        <w:rPr>
          <w:rFonts w:ascii="Arial" w:eastAsia="Times New Roman" w:hAnsi="Arial" w:cs="Arial"/>
          <w:lang w:eastAsia="en-GB" w:bidi="en-US"/>
        </w:rPr>
        <w:t xml:space="preserve">of the external </w:t>
      </w:r>
      <w:r w:rsidRPr="00FD1F44">
        <w:rPr>
          <w:rFonts w:ascii="Arial" w:eastAsia="Times New Roman" w:hAnsi="Arial" w:cs="Arial"/>
          <w:lang w:eastAsia="en-GB" w:bidi="en-US"/>
        </w:rPr>
        <w:t xml:space="preserve">assessment and therefore only alternative </w:t>
      </w:r>
      <w:r w:rsidRPr="0D0DAD6B">
        <w:rPr>
          <w:rFonts w:ascii="Arial" w:eastAsia="Times New Roman" w:hAnsi="Arial" w:cs="Arial"/>
          <w:lang w:eastAsia="en-GB" w:bidi="en-US"/>
        </w:rPr>
        <w:t xml:space="preserve">assessment </w:t>
      </w:r>
      <w:r w:rsidRPr="00FD1F44">
        <w:rPr>
          <w:rFonts w:ascii="Arial" w:eastAsia="Times New Roman" w:hAnsi="Arial" w:cs="Arial"/>
          <w:lang w:eastAsia="en-GB" w:bidi="en-US"/>
        </w:rPr>
        <w:t>evidence is available, any grade awarded will be at the lowest band point available, for example, A2, B4 or C6.</w:t>
      </w:r>
    </w:p>
    <w:p w14:paraId="31B8A809" w14:textId="77777777" w:rsidR="00B17B10" w:rsidRPr="00A649F8" w:rsidRDefault="00B17B10" w:rsidP="00B17B10">
      <w:pPr>
        <w:pStyle w:val="ListParagraph"/>
        <w:numPr>
          <w:ilvl w:val="0"/>
          <w:numId w:val="5"/>
        </w:numPr>
        <w:suppressAutoHyphens/>
        <w:spacing w:before="240" w:after="40" w:line="280" w:lineRule="atLeast"/>
        <w:ind w:left="714" w:hanging="357"/>
        <w:rPr>
          <w:rFonts w:ascii="Arial" w:eastAsia="Times New Roman" w:hAnsi="Arial" w:cs="Arial"/>
          <w:lang w:eastAsia="en-GB" w:bidi="en-US"/>
        </w:rPr>
      </w:pPr>
      <w:r w:rsidRPr="129FAF83">
        <w:rPr>
          <w:rFonts w:ascii="Arial" w:eastAsia="Times New Roman" w:hAnsi="Arial" w:cs="Arial"/>
          <w:lang w:eastAsia="en-GB" w:bidi="en-US"/>
        </w:rPr>
        <w:t xml:space="preserve">If a </w:t>
      </w:r>
      <w:r>
        <w:rPr>
          <w:rFonts w:ascii="Arial" w:eastAsia="Times New Roman" w:hAnsi="Arial" w:cs="Arial"/>
          <w:lang w:eastAsia="en-GB" w:bidi="en-US"/>
        </w:rPr>
        <w:t>candidate</w:t>
      </w:r>
      <w:r w:rsidRPr="129FAF83">
        <w:rPr>
          <w:rFonts w:ascii="Arial" w:eastAsia="Times New Roman" w:hAnsi="Arial" w:cs="Arial"/>
          <w:lang w:eastAsia="en-GB" w:bidi="en-US"/>
        </w:rPr>
        <w:t xml:space="preserve"> has a conditional offer from university that requires an A1 band, in these cases, by exception, should the </w:t>
      </w:r>
      <w:r>
        <w:rPr>
          <w:rFonts w:ascii="Arial" w:eastAsia="Calibri" w:hAnsi="Arial" w:cs="Arial"/>
        </w:rPr>
        <w:t>candidate</w:t>
      </w:r>
      <w:r w:rsidRPr="5D8D6C78">
        <w:rPr>
          <w:rFonts w:ascii="Arial" w:eastAsia="Times New Roman" w:hAnsi="Arial" w:cs="Arial"/>
          <w:lang w:eastAsia="en-GB" w:bidi="en-US"/>
        </w:rPr>
        <w:t>’s</w:t>
      </w:r>
      <w:r w:rsidRPr="129FAF83">
        <w:rPr>
          <w:rFonts w:ascii="Arial" w:eastAsia="Times New Roman" w:hAnsi="Arial" w:cs="Arial"/>
          <w:lang w:eastAsia="en-GB" w:bidi="en-US"/>
        </w:rPr>
        <w:t xml:space="preserve"> alternative evidence justify an A grade, the appointee will also determine the appropriate band. </w:t>
      </w:r>
    </w:p>
    <w:p w14:paraId="14132010" w14:textId="77777777" w:rsidR="00B17B10" w:rsidRDefault="00B17B10" w:rsidP="00B17B10">
      <w:pPr>
        <w:suppressAutoHyphens/>
        <w:spacing w:before="240" w:after="240" w:line="280" w:lineRule="atLeast"/>
        <w:rPr>
          <w:rFonts w:ascii="Arial" w:eastAsia="Times New Roman" w:hAnsi="Arial" w:cs="Arial"/>
          <w:lang w:eastAsia="en-GB" w:bidi="en-US"/>
        </w:rPr>
      </w:pPr>
      <w:r w:rsidRPr="73D6CF09">
        <w:rPr>
          <w:rFonts w:ascii="Arial" w:eastAsia="Times New Roman" w:hAnsi="Arial" w:cs="Arial"/>
          <w:lang w:eastAsia="en-GB" w:bidi="en-US"/>
        </w:rPr>
        <w:t xml:space="preserve">The grade awarded will be based on the standard of the evidence reviewed as part of the </w:t>
      </w:r>
      <w:r>
        <w:rPr>
          <w:rFonts w:ascii="Arial" w:eastAsia="Times New Roman" w:hAnsi="Arial" w:cs="Arial"/>
          <w:lang w:eastAsia="en-GB" w:bidi="en-US"/>
        </w:rPr>
        <w:t>ACS</w:t>
      </w:r>
      <w:r w:rsidRPr="73D6CF09">
        <w:rPr>
          <w:rFonts w:ascii="Arial" w:eastAsia="Times New Roman" w:hAnsi="Arial" w:cs="Arial"/>
          <w:lang w:eastAsia="en-GB" w:bidi="en-US"/>
        </w:rPr>
        <w:t xml:space="preserve"> pro</w:t>
      </w:r>
      <w:r>
        <w:rPr>
          <w:rFonts w:ascii="Arial" w:eastAsia="Times New Roman" w:hAnsi="Arial" w:cs="Arial"/>
          <w:lang w:eastAsia="en-GB" w:bidi="en-US"/>
        </w:rPr>
        <w:t>cedure</w:t>
      </w:r>
      <w:r w:rsidRPr="73D6CF09">
        <w:rPr>
          <w:rFonts w:ascii="Arial" w:eastAsia="Times New Roman" w:hAnsi="Arial" w:cs="Arial"/>
          <w:lang w:eastAsia="en-GB" w:bidi="en-US"/>
        </w:rPr>
        <w:t xml:space="preserve">, not the grade the </w:t>
      </w:r>
      <w:r>
        <w:rPr>
          <w:rFonts w:ascii="Arial" w:eastAsia="Calibri" w:hAnsi="Arial" w:cs="Arial"/>
        </w:rPr>
        <w:t>candidate</w:t>
      </w:r>
      <w:r w:rsidRPr="73D6CF09">
        <w:rPr>
          <w:rFonts w:ascii="Arial" w:eastAsia="Times New Roman" w:hAnsi="Arial" w:cs="Arial"/>
          <w:lang w:eastAsia="en-GB" w:bidi="en-US"/>
        </w:rPr>
        <w:t xml:space="preserve"> has been estimated by their centre. </w:t>
      </w:r>
    </w:p>
    <w:p w14:paraId="3CC1C188" w14:textId="77777777" w:rsidR="00B17B10" w:rsidRPr="00F26DAF" w:rsidRDefault="00B17B10" w:rsidP="00B17B10">
      <w:pPr>
        <w:suppressAutoHyphens/>
        <w:spacing w:before="240" w:after="240" w:line="280" w:lineRule="atLeast"/>
        <w:rPr>
          <w:rFonts w:ascii="Arial" w:eastAsia="Times New Roman" w:hAnsi="Arial" w:cs="Arial"/>
          <w:lang w:eastAsia="en-GB" w:bidi="en-US"/>
        </w:rPr>
      </w:pPr>
      <w:r>
        <w:rPr>
          <w:rFonts w:ascii="Arial" w:eastAsia="Times New Roman" w:hAnsi="Arial" w:cs="Arial"/>
          <w:lang w:eastAsia="en-GB" w:bidi="en-US"/>
        </w:rPr>
        <w:t>ACS</w:t>
      </w:r>
      <w:r w:rsidRPr="7460DB0E">
        <w:rPr>
          <w:rFonts w:ascii="Arial" w:eastAsia="Times New Roman" w:hAnsi="Arial" w:cs="Arial"/>
          <w:lang w:eastAsia="en-GB" w:bidi="en-US"/>
        </w:rPr>
        <w:t xml:space="preserve"> will usually take place pre-certification however</w:t>
      </w:r>
      <w:r>
        <w:rPr>
          <w:rFonts w:ascii="Arial" w:eastAsia="Times New Roman" w:hAnsi="Arial" w:cs="Arial"/>
          <w:lang w:eastAsia="en-GB" w:bidi="en-US"/>
        </w:rPr>
        <w:t>,</w:t>
      </w:r>
      <w:r w:rsidRPr="7460DB0E">
        <w:rPr>
          <w:rFonts w:ascii="Arial" w:eastAsia="Times New Roman" w:hAnsi="Arial" w:cs="Arial"/>
          <w:lang w:eastAsia="en-GB" w:bidi="en-US"/>
        </w:rPr>
        <w:t xml:space="preserve"> in rare instances late cases may occur, for example where a candidate has experienced an adverse circumstance during their completion of a non-question paper external assessment and only communicates this</w:t>
      </w:r>
      <w:r>
        <w:rPr>
          <w:rFonts w:ascii="Arial" w:eastAsia="Times New Roman" w:hAnsi="Arial" w:cs="Arial"/>
          <w:lang w:eastAsia="en-GB" w:bidi="en-US"/>
        </w:rPr>
        <w:t xml:space="preserve"> </w:t>
      </w:r>
      <w:r w:rsidRPr="7460DB0E">
        <w:rPr>
          <w:rFonts w:ascii="Arial" w:eastAsia="Times New Roman" w:hAnsi="Arial" w:cs="Arial"/>
          <w:lang w:eastAsia="en-GB" w:bidi="en-US"/>
        </w:rPr>
        <w:t>after certification.</w:t>
      </w:r>
    </w:p>
    <w:p w14:paraId="702A4F54" w14:textId="77777777" w:rsidR="00B17B10" w:rsidRPr="005B62E6" w:rsidRDefault="00B17B10" w:rsidP="00B17B10">
      <w:pPr>
        <w:rPr>
          <w:rFonts w:ascii="Arial" w:hAnsi="Arial" w:cs="Arial"/>
        </w:rPr>
      </w:pPr>
      <w:r w:rsidRPr="005B62E6">
        <w:rPr>
          <w:rFonts w:ascii="Arial" w:eastAsia="Times New Roman" w:hAnsi="Arial" w:cs="Arial"/>
          <w:b/>
          <w:bCs/>
          <w:sz w:val="24"/>
          <w:szCs w:val="24"/>
          <w:lang w:eastAsia="en-GB" w:bidi="en-US"/>
        </w:rPr>
        <w:t>How results are issued</w:t>
      </w:r>
    </w:p>
    <w:p w14:paraId="223229F3" w14:textId="77777777" w:rsidR="00B17B10" w:rsidRPr="00292742" w:rsidRDefault="00B17B10" w:rsidP="00B17B10">
      <w:pPr>
        <w:pStyle w:val="Bullets"/>
        <w:numPr>
          <w:ilvl w:val="0"/>
          <w:numId w:val="0"/>
        </w:numPr>
        <w:tabs>
          <w:tab w:val="left" w:pos="357"/>
          <w:tab w:val="left" w:pos="567"/>
        </w:tabs>
        <w:suppressAutoHyphens/>
        <w:spacing w:after="280" w:line="280" w:lineRule="atLeast"/>
        <w:rPr>
          <w:rFonts w:eastAsia="Times New Roman"/>
          <w:szCs w:val="24"/>
          <w:lang w:eastAsia="en-GB" w:bidi="en-US"/>
        </w:rPr>
      </w:pPr>
      <w:r w:rsidRPr="00292742">
        <w:rPr>
          <w:rFonts w:eastAsia="Times New Roman"/>
          <w:szCs w:val="24"/>
          <w:lang w:eastAsia="en-GB" w:bidi="en-US"/>
        </w:rPr>
        <w:t>Results will be issued via the normal national certification channels and according to the associated published dates</w:t>
      </w:r>
      <w:r>
        <w:rPr>
          <w:rFonts w:eastAsia="Times New Roman"/>
          <w:szCs w:val="24"/>
          <w:lang w:eastAsia="en-GB" w:bidi="en-US"/>
        </w:rPr>
        <w:t xml:space="preserve"> (</w:t>
      </w:r>
      <w:proofErr w:type="gramStart"/>
      <w:r>
        <w:rPr>
          <w:rFonts w:eastAsia="Times New Roman"/>
          <w:szCs w:val="24"/>
          <w:lang w:eastAsia="en-GB" w:bidi="en-US"/>
        </w:rPr>
        <w:t>with the exception of</w:t>
      </w:r>
      <w:proofErr w:type="gramEnd"/>
      <w:r>
        <w:rPr>
          <w:rFonts w:eastAsia="Times New Roman"/>
          <w:szCs w:val="24"/>
          <w:lang w:eastAsia="en-GB" w:bidi="en-US"/>
        </w:rPr>
        <w:t xml:space="preserve"> late cases).</w:t>
      </w:r>
    </w:p>
    <w:p w14:paraId="7980206C" w14:textId="77777777" w:rsidR="00B17B10" w:rsidRPr="00F65732" w:rsidRDefault="00B17B10" w:rsidP="00B17B10">
      <w:pPr>
        <w:pStyle w:val="Heading3"/>
        <w:spacing w:before="360" w:after="120"/>
        <w:rPr>
          <w:rFonts w:ascii="Arial" w:eastAsia="SimSun" w:hAnsi="Arial" w:cs="Times New Roman"/>
          <w:b/>
          <w:color w:val="auto"/>
          <w:kern w:val="28"/>
          <w:sz w:val="24"/>
          <w:szCs w:val="24"/>
          <w:lang w:val="en-US" w:bidi="en-US"/>
        </w:rPr>
      </w:pPr>
      <w:bookmarkStart w:id="1" w:name="_Toc513025228"/>
      <w:bookmarkStart w:id="2" w:name="_Toc514682928"/>
      <w:r w:rsidRPr="00F65732">
        <w:rPr>
          <w:rFonts w:ascii="Arial" w:eastAsia="SimSun" w:hAnsi="Arial" w:cs="Times New Roman"/>
          <w:b/>
          <w:color w:val="auto"/>
          <w:kern w:val="28"/>
          <w:sz w:val="24"/>
          <w:szCs w:val="24"/>
          <w:lang w:val="en-US" w:bidi="en-US"/>
        </w:rPr>
        <w:t>Appeals</w:t>
      </w:r>
    </w:p>
    <w:p w14:paraId="4368C492" w14:textId="77777777" w:rsidR="00B17B10" w:rsidRPr="005727C1" w:rsidRDefault="00B17B10" w:rsidP="00B17B10">
      <w:pPr>
        <w:rPr>
          <w:rStyle w:val="normaltextrun"/>
          <w:rFonts w:ascii="Arial" w:hAnsi="Arial" w:cs="Arial"/>
          <w:color w:val="000000"/>
          <w:kern w:val="0"/>
          <w:shd w:val="clear" w:color="auto" w:fill="FFFFFF"/>
        </w:rPr>
      </w:pPr>
      <w:bookmarkStart w:id="3" w:name="_Hlk192748850"/>
      <w:bookmarkEnd w:id="1"/>
      <w:bookmarkEnd w:id="2"/>
      <w:r w:rsidRPr="00FD1F44">
        <w:rPr>
          <w:rFonts w:ascii="Arial" w:hAnsi="Arial" w:cs="Arial"/>
        </w:rPr>
        <w:t xml:space="preserve">Candidates whose grade has been determined via </w:t>
      </w:r>
      <w:r>
        <w:rPr>
          <w:rFonts w:ascii="Arial" w:hAnsi="Arial" w:cs="Arial"/>
        </w:rPr>
        <w:t>ACS</w:t>
      </w:r>
      <w:r w:rsidRPr="00FD1F44">
        <w:rPr>
          <w:rFonts w:ascii="Arial" w:hAnsi="Arial" w:cs="Arial"/>
        </w:rPr>
        <w:t xml:space="preserve"> are excluded from the Appeals Service for the same qualification.</w:t>
      </w:r>
      <w:r>
        <w:rPr>
          <w:rFonts w:ascii="Arial" w:hAnsi="Arial" w:cs="Arial"/>
        </w:rPr>
        <w:t xml:space="preserve"> </w:t>
      </w:r>
      <w:r w:rsidRPr="000E20F3">
        <w:rPr>
          <w:rStyle w:val="normaltextrun"/>
          <w:rFonts w:ascii="Arial" w:hAnsi="Arial" w:cs="Arial"/>
          <w:color w:val="000000"/>
          <w:shd w:val="clear" w:color="auto" w:fill="FFFFFF"/>
        </w:rPr>
        <w:t xml:space="preserve">This is because the Adverse </w:t>
      </w:r>
      <w:r w:rsidRPr="000E20F3">
        <w:rPr>
          <w:rFonts w:ascii="Arial" w:eastAsia="Times New Roman" w:hAnsi="Arial" w:cs="Arial"/>
          <w:lang w:eastAsia="en-GB"/>
        </w:rPr>
        <w:t xml:space="preserve">Circumstances Support </w:t>
      </w:r>
      <w:r>
        <w:rPr>
          <w:rFonts w:ascii="Arial" w:eastAsia="Times New Roman" w:hAnsi="Arial" w:cs="Arial"/>
          <w:lang w:eastAsia="en-GB"/>
        </w:rPr>
        <w:t>p</w:t>
      </w:r>
      <w:r w:rsidRPr="000E20F3">
        <w:rPr>
          <w:rFonts w:ascii="Arial" w:eastAsia="Times New Roman" w:hAnsi="Arial" w:cs="Arial"/>
          <w:lang w:eastAsia="en-GB"/>
        </w:rPr>
        <w:t xml:space="preserve">rocess </w:t>
      </w:r>
      <w:r w:rsidRPr="000E20F3">
        <w:rPr>
          <w:rStyle w:val="normaltextrun"/>
          <w:rFonts w:ascii="Arial" w:hAnsi="Arial" w:cs="Arial"/>
          <w:color w:val="000000"/>
          <w:shd w:val="clear" w:color="auto" w:fill="FFFFFF"/>
        </w:rPr>
        <w:t>includes a marking review of all submitted external assessments that are related to the request.</w:t>
      </w:r>
    </w:p>
    <w:p w14:paraId="254A0043" w14:textId="77777777" w:rsidR="00B17B10" w:rsidRPr="005727C1" w:rsidRDefault="00B17B10" w:rsidP="00B17B10">
      <w:pPr>
        <w:rPr>
          <w:rFonts w:ascii="Arial" w:eastAsia="SimSun" w:hAnsi="Arial" w:cs="Times New Roman"/>
          <w:b/>
          <w:kern w:val="28"/>
          <w:sz w:val="24"/>
          <w:szCs w:val="24"/>
          <w:lang w:val="en-US" w:bidi="en-US"/>
        </w:rPr>
      </w:pPr>
      <w:bookmarkStart w:id="4" w:name="_Hlk192750855"/>
      <w:r w:rsidRPr="005727C1">
        <w:rPr>
          <w:rFonts w:ascii="Arial" w:eastAsia="SimSun" w:hAnsi="Arial" w:cs="Times New Roman"/>
          <w:b/>
          <w:kern w:val="28"/>
          <w:sz w:val="24"/>
          <w:szCs w:val="24"/>
          <w:lang w:val="en-US" w:bidi="en-US"/>
        </w:rPr>
        <w:lastRenderedPageBreak/>
        <w:t>Adverse Circumstances Support Appeals</w:t>
      </w:r>
    </w:p>
    <w:p w14:paraId="22F8E169" w14:textId="77777777" w:rsidR="00B17B10" w:rsidRPr="000E20F3" w:rsidRDefault="00B17B10" w:rsidP="00B17B10">
      <w:pPr>
        <w:rPr>
          <w:rFonts w:ascii="Arial" w:hAnsi="Arial" w:cs="Arial"/>
          <w:color w:val="000000"/>
          <w:shd w:val="clear" w:color="auto" w:fill="FFFFFF"/>
        </w:rPr>
      </w:pPr>
      <w:r w:rsidRPr="005727C1">
        <w:rPr>
          <w:rFonts w:ascii="Arial" w:hAnsi="Arial" w:cs="Arial"/>
          <w:color w:val="000000"/>
          <w:shd w:val="clear" w:color="auto" w:fill="FFFFFF"/>
        </w:rPr>
        <w:t>Adverse Circumstances Support appeals are available if it is believed that there was procedural irregularity in SQA’s handling of an ACS request, which contributed to a decision that based on all the evidence available to SQA at the time, is wrong.</w:t>
      </w:r>
    </w:p>
    <w:bookmarkEnd w:id="3"/>
    <w:bookmarkEnd w:id="4"/>
    <w:p w14:paraId="40EC2F2B" w14:textId="77777777" w:rsidR="00B17B10" w:rsidRDefault="00B17B10" w:rsidP="00B17B10">
      <w:pPr>
        <w:spacing w:after="0" w:line="240" w:lineRule="auto"/>
        <w:rPr>
          <w:rFonts w:ascii="Arial" w:eastAsia="Calibri" w:hAnsi="Arial" w:cs="Arial"/>
          <w:b/>
          <w:bCs/>
          <w:sz w:val="24"/>
          <w:szCs w:val="24"/>
        </w:rPr>
      </w:pPr>
    </w:p>
    <w:p w14:paraId="3FDA5D09" w14:textId="77777777" w:rsidR="00B17B10" w:rsidRPr="00447B9D" w:rsidRDefault="00B17B10" w:rsidP="00B17B10">
      <w:pPr>
        <w:keepNext/>
        <w:spacing w:before="360" w:after="120" w:line="240" w:lineRule="auto"/>
        <w:ind w:left="357" w:hanging="357"/>
        <w:outlineLvl w:val="1"/>
        <w:rPr>
          <w:rFonts w:ascii="Arial" w:eastAsia="Calibri" w:hAnsi="Arial" w:cs="Arial"/>
          <w:b/>
          <w:bCs/>
          <w:kern w:val="28"/>
          <w:sz w:val="36"/>
          <w:szCs w:val="36"/>
          <w:lang w:eastAsia="en-GB"/>
        </w:rPr>
      </w:pPr>
      <w:r>
        <w:rPr>
          <w:rFonts w:ascii="Arial" w:eastAsia="Calibri" w:hAnsi="Arial" w:cs="Arial"/>
          <w:b/>
          <w:bCs/>
          <w:kern w:val="28"/>
          <w:sz w:val="36"/>
          <w:szCs w:val="36"/>
          <w:lang w:eastAsia="en-GB"/>
        </w:rPr>
        <w:t>4</w:t>
      </w:r>
      <w:r w:rsidRPr="00447B9D">
        <w:rPr>
          <w:rFonts w:ascii="Arial" w:eastAsia="Calibri" w:hAnsi="Arial" w:cs="Arial"/>
          <w:b/>
          <w:kern w:val="28"/>
          <w:sz w:val="36"/>
          <w:lang w:eastAsia="en-GB"/>
        </w:rPr>
        <w:tab/>
      </w:r>
      <w:r w:rsidRPr="11C0D474">
        <w:rPr>
          <w:rFonts w:ascii="Arial" w:eastAsia="Calibri" w:hAnsi="Arial" w:cs="Arial"/>
          <w:b/>
          <w:bCs/>
          <w:kern w:val="28"/>
          <w:sz w:val="36"/>
          <w:szCs w:val="36"/>
          <w:lang w:eastAsia="en-GB"/>
        </w:rPr>
        <w:t>Policy relationship to SQA’s governing principles</w:t>
      </w:r>
    </w:p>
    <w:p w14:paraId="373008FF" w14:textId="77777777" w:rsidR="00B17B10" w:rsidRDefault="00B17B10" w:rsidP="00B17B10">
      <w:pPr>
        <w:autoSpaceDE w:val="0"/>
        <w:autoSpaceDN w:val="0"/>
        <w:adjustRightInd w:val="0"/>
        <w:spacing w:after="0" w:line="240" w:lineRule="auto"/>
      </w:pPr>
      <w:hyperlink r:id="rId5">
        <w:r w:rsidRPr="73D6CF09">
          <w:rPr>
            <w:rFonts w:ascii="Arial" w:eastAsia="Calibri" w:hAnsi="Arial" w:cs="Arial"/>
            <w:color w:val="0000FF"/>
            <w:u w:val="single"/>
          </w:rPr>
          <w:t>SQA’s Governing Principles</w:t>
        </w:r>
      </w:hyperlink>
      <w:r w:rsidRPr="73D6CF09">
        <w:rPr>
          <w:rFonts w:ascii="Arial" w:eastAsia="Calibri" w:hAnsi="Arial" w:cs="Arial"/>
        </w:rPr>
        <w:t xml:space="preserve"> govern how SQA meets its statutory duties and self-regulates its activities. Th</w:t>
      </w:r>
      <w:r>
        <w:rPr>
          <w:rFonts w:ascii="Arial" w:eastAsia="Calibri" w:hAnsi="Arial" w:cs="Arial"/>
        </w:rPr>
        <w:t>is</w:t>
      </w:r>
      <w:r w:rsidRPr="73D6CF09">
        <w:rPr>
          <w:rFonts w:ascii="Arial" w:eastAsia="Calibri" w:hAnsi="Arial" w:cs="Arial"/>
        </w:rPr>
        <w:t xml:space="preserve"> policy </w:t>
      </w:r>
      <w:r>
        <w:rPr>
          <w:rFonts w:ascii="Arial" w:eastAsia="Calibri" w:hAnsi="Arial" w:cs="Arial"/>
        </w:rPr>
        <w:t xml:space="preserve">supports and </w:t>
      </w:r>
      <w:r w:rsidRPr="73D6CF09">
        <w:rPr>
          <w:rFonts w:ascii="Arial" w:eastAsia="Calibri" w:hAnsi="Arial" w:cs="Arial"/>
        </w:rPr>
        <w:t xml:space="preserve">is supported </w:t>
      </w:r>
      <w:proofErr w:type="gramStart"/>
      <w:r w:rsidRPr="73D6CF09">
        <w:rPr>
          <w:rFonts w:ascii="Arial" w:eastAsia="Calibri" w:hAnsi="Arial" w:cs="Arial"/>
        </w:rPr>
        <w:t>by, in particular</w:t>
      </w:r>
      <w:proofErr w:type="gramEnd"/>
      <w:r w:rsidRPr="73D6CF09">
        <w:rPr>
          <w:rFonts w:ascii="Arial" w:eastAsia="Calibri" w:hAnsi="Arial" w:cs="Arial"/>
        </w:rPr>
        <w:t xml:space="preserve">: </w:t>
      </w:r>
    </w:p>
    <w:p w14:paraId="48D5F999" w14:textId="77777777" w:rsidR="00B17B10" w:rsidRDefault="00B17B10" w:rsidP="00B17B10">
      <w:pPr>
        <w:autoSpaceDE w:val="0"/>
        <w:autoSpaceDN w:val="0"/>
        <w:adjustRightInd w:val="0"/>
        <w:spacing w:after="0" w:line="240" w:lineRule="auto"/>
        <w:rPr>
          <w:rFonts w:ascii="Arial" w:eastAsia="Calibri" w:hAnsi="Arial" w:cs="Arial"/>
          <w:b/>
          <w:bCs/>
        </w:rPr>
      </w:pPr>
    </w:p>
    <w:p w14:paraId="53D5500D" w14:textId="77777777" w:rsidR="00B17B10" w:rsidRPr="00447B9D" w:rsidRDefault="00B17B10" w:rsidP="00B17B10">
      <w:pPr>
        <w:autoSpaceDE w:val="0"/>
        <w:autoSpaceDN w:val="0"/>
        <w:adjustRightInd w:val="0"/>
        <w:spacing w:after="0" w:line="240" w:lineRule="auto"/>
        <w:rPr>
          <w:rFonts w:ascii="Arial" w:eastAsia="Calibri" w:hAnsi="Arial" w:cs="Arial"/>
          <w:b/>
          <w:bCs/>
        </w:rPr>
      </w:pPr>
      <w:bookmarkStart w:id="5" w:name="_Hlk192537339"/>
      <w:r w:rsidRPr="00447B9D">
        <w:rPr>
          <w:rFonts w:ascii="Arial" w:eastAsia="Calibri" w:hAnsi="Arial" w:cs="Arial"/>
          <w:b/>
          <w:bCs/>
        </w:rPr>
        <w:t xml:space="preserve">Governing Principle 6 </w:t>
      </w:r>
    </w:p>
    <w:p w14:paraId="396CEB06" w14:textId="77777777" w:rsidR="00B17B10" w:rsidRDefault="00B17B10" w:rsidP="00B17B10">
      <w:pPr>
        <w:autoSpaceDE w:val="0"/>
        <w:autoSpaceDN w:val="0"/>
        <w:adjustRightInd w:val="0"/>
        <w:spacing w:after="0" w:line="240" w:lineRule="auto"/>
        <w:rPr>
          <w:rFonts w:ascii="Arial" w:eastAsia="Calibri" w:hAnsi="Arial" w:cs="Arial"/>
        </w:rPr>
      </w:pPr>
      <w:r w:rsidRPr="00447B9D">
        <w:rPr>
          <w:rFonts w:ascii="Arial" w:eastAsia="Calibri" w:hAnsi="Arial" w:cs="Arial"/>
        </w:rPr>
        <w:t xml:space="preserve">SQA will work in partnership with its appointees and centres to ensure that all assessments used in its qualifications are valid and reliable. </w:t>
      </w:r>
    </w:p>
    <w:p w14:paraId="22811907" w14:textId="77777777" w:rsidR="00B17B10" w:rsidRPr="008A142C" w:rsidRDefault="00B17B10" w:rsidP="00B17B10">
      <w:pPr>
        <w:autoSpaceDE w:val="0"/>
        <w:autoSpaceDN w:val="0"/>
        <w:adjustRightInd w:val="0"/>
        <w:spacing w:after="0" w:line="240" w:lineRule="auto"/>
        <w:rPr>
          <w:rFonts w:ascii="Arial" w:eastAsia="Calibri" w:hAnsi="Arial" w:cs="Arial"/>
          <w:sz w:val="10"/>
          <w:szCs w:val="10"/>
        </w:rPr>
      </w:pPr>
    </w:p>
    <w:p w14:paraId="4DA9DED5" w14:textId="77777777" w:rsidR="00B17B10" w:rsidRDefault="00B17B10" w:rsidP="00B17B10">
      <w:pPr>
        <w:autoSpaceDE w:val="0"/>
        <w:autoSpaceDN w:val="0"/>
        <w:adjustRightInd w:val="0"/>
        <w:spacing w:after="0" w:line="240" w:lineRule="auto"/>
        <w:rPr>
          <w:rFonts w:ascii="Arial" w:eastAsia="Calibri" w:hAnsi="Arial" w:cs="Arial"/>
          <w:b/>
          <w:bCs/>
        </w:rPr>
      </w:pPr>
      <w:r w:rsidRPr="00447B9D">
        <w:rPr>
          <w:rFonts w:ascii="Arial" w:eastAsia="Calibri" w:hAnsi="Arial" w:cs="Arial"/>
          <w:b/>
          <w:bCs/>
        </w:rPr>
        <w:t xml:space="preserve">Governing Principle 7 </w:t>
      </w:r>
    </w:p>
    <w:p w14:paraId="08D6818D" w14:textId="77777777" w:rsidR="00B17B10" w:rsidRDefault="00B17B10" w:rsidP="00B17B10">
      <w:pPr>
        <w:autoSpaceDE w:val="0"/>
        <w:autoSpaceDN w:val="0"/>
        <w:adjustRightInd w:val="0"/>
        <w:spacing w:after="0" w:line="240" w:lineRule="auto"/>
        <w:rPr>
          <w:rFonts w:ascii="Arial" w:eastAsia="Calibri" w:hAnsi="Arial" w:cs="Arial"/>
        </w:rPr>
      </w:pPr>
      <w:r w:rsidRPr="00447B9D">
        <w:rPr>
          <w:rFonts w:ascii="Arial" w:eastAsia="Calibri" w:hAnsi="Arial" w:cs="Arial"/>
        </w:rPr>
        <w:t xml:space="preserve">SQA will ensure that all qualifications and assessments are as fair and accessible as possible and that the needs of </w:t>
      </w:r>
      <w:r>
        <w:rPr>
          <w:rFonts w:ascii="Arial" w:eastAsia="Calibri" w:hAnsi="Arial" w:cs="Arial"/>
        </w:rPr>
        <w:t>learners</w:t>
      </w:r>
      <w:r w:rsidRPr="00447B9D">
        <w:rPr>
          <w:rFonts w:ascii="Arial" w:eastAsia="Calibri" w:hAnsi="Arial" w:cs="Arial"/>
        </w:rPr>
        <w:t xml:space="preserve"> are met in the management of its assessments.</w:t>
      </w:r>
    </w:p>
    <w:p w14:paraId="2834AE7A" w14:textId="77777777" w:rsidR="00B17B10" w:rsidRDefault="00B17B10" w:rsidP="00B17B10">
      <w:pPr>
        <w:autoSpaceDE w:val="0"/>
        <w:autoSpaceDN w:val="0"/>
        <w:adjustRightInd w:val="0"/>
        <w:spacing w:after="0" w:line="240" w:lineRule="auto"/>
        <w:rPr>
          <w:rFonts w:ascii="Arial" w:eastAsia="Calibri" w:hAnsi="Arial" w:cs="Arial"/>
        </w:rPr>
      </w:pPr>
    </w:p>
    <w:p w14:paraId="08165744" w14:textId="77777777" w:rsidR="00B17B10" w:rsidRDefault="00B17B10" w:rsidP="00B17B10">
      <w:pPr>
        <w:autoSpaceDE w:val="0"/>
        <w:autoSpaceDN w:val="0"/>
        <w:adjustRightInd w:val="0"/>
        <w:spacing w:after="0" w:line="240" w:lineRule="auto"/>
        <w:rPr>
          <w:rFonts w:ascii="Arial" w:eastAsia="Calibri" w:hAnsi="Arial" w:cs="Arial"/>
          <w:b/>
          <w:bCs/>
        </w:rPr>
      </w:pPr>
      <w:r w:rsidRPr="00E23C33">
        <w:rPr>
          <w:rFonts w:ascii="Arial" w:eastAsia="Calibri" w:hAnsi="Arial" w:cs="Arial"/>
          <w:b/>
          <w:bCs/>
        </w:rPr>
        <w:t xml:space="preserve">Governing Principle for awarding 10 </w:t>
      </w:r>
    </w:p>
    <w:p w14:paraId="5C1E701E" w14:textId="77777777" w:rsidR="00B17B10" w:rsidRPr="00E23C33" w:rsidRDefault="00B17B10" w:rsidP="00B17B10">
      <w:pPr>
        <w:autoSpaceDE w:val="0"/>
        <w:autoSpaceDN w:val="0"/>
        <w:adjustRightInd w:val="0"/>
        <w:spacing w:after="0" w:line="240" w:lineRule="auto"/>
        <w:rPr>
          <w:rFonts w:ascii="Arial" w:eastAsia="Calibri" w:hAnsi="Arial" w:cs="Arial"/>
        </w:rPr>
      </w:pPr>
      <w:r w:rsidRPr="00E23C33">
        <w:rPr>
          <w:rFonts w:ascii="Arial" w:eastAsia="Calibri" w:hAnsi="Arial" w:cs="Arial"/>
        </w:rPr>
        <w:t>SQA will ensure that candidates receive accurate results in the stated timeframe.</w:t>
      </w:r>
    </w:p>
    <w:bookmarkEnd w:id="5"/>
    <w:p w14:paraId="763328A3" w14:textId="77777777" w:rsidR="008C6E0B" w:rsidRDefault="008C6E0B"/>
    <w:sectPr w:rsidR="008C6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1B47"/>
    <w:multiLevelType w:val="hybridMultilevel"/>
    <w:tmpl w:val="7558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84ED6"/>
    <w:multiLevelType w:val="hybridMultilevel"/>
    <w:tmpl w:val="62B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9212C"/>
    <w:multiLevelType w:val="hybridMultilevel"/>
    <w:tmpl w:val="CC30FA96"/>
    <w:lvl w:ilvl="0" w:tplc="1D2A3B96">
      <w:start w:val="1"/>
      <w:numFmt w:val="bullet"/>
      <w:pStyle w:val="Bullets"/>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ED17C85"/>
    <w:multiLevelType w:val="hybridMultilevel"/>
    <w:tmpl w:val="8D3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54ABD"/>
    <w:multiLevelType w:val="hybridMultilevel"/>
    <w:tmpl w:val="0664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F3EB1"/>
    <w:multiLevelType w:val="hybridMultilevel"/>
    <w:tmpl w:val="86E8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462697">
    <w:abstractNumId w:val="2"/>
  </w:num>
  <w:num w:numId="2" w16cid:durableId="1800764516">
    <w:abstractNumId w:val="4"/>
  </w:num>
  <w:num w:numId="3" w16cid:durableId="538322906">
    <w:abstractNumId w:val="1"/>
  </w:num>
  <w:num w:numId="4" w16cid:durableId="2058698143">
    <w:abstractNumId w:val="3"/>
  </w:num>
  <w:num w:numId="5" w16cid:durableId="127094505">
    <w:abstractNumId w:val="0"/>
  </w:num>
  <w:num w:numId="6" w16cid:durableId="1574776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10"/>
    <w:rsid w:val="00006B30"/>
    <w:rsid w:val="004868D7"/>
    <w:rsid w:val="00557CC9"/>
    <w:rsid w:val="00622E8C"/>
    <w:rsid w:val="00660D1A"/>
    <w:rsid w:val="006E4A2E"/>
    <w:rsid w:val="006F4D32"/>
    <w:rsid w:val="00712326"/>
    <w:rsid w:val="00847DDC"/>
    <w:rsid w:val="008C6E0B"/>
    <w:rsid w:val="00B17B10"/>
    <w:rsid w:val="00E01A98"/>
    <w:rsid w:val="00E02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1263"/>
  <w15:chartTrackingRefBased/>
  <w15:docId w15:val="{0E432D7A-E592-4BF4-93BC-229BE7A8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10"/>
  </w:style>
  <w:style w:type="paragraph" w:styleId="Heading1">
    <w:name w:val="heading 1"/>
    <w:basedOn w:val="Normal"/>
    <w:next w:val="Normal"/>
    <w:link w:val="Heading1Char"/>
    <w:uiPriority w:val="9"/>
    <w:qFormat/>
    <w:rsid w:val="00B17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17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17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B10"/>
    <w:rPr>
      <w:rFonts w:eastAsiaTheme="majorEastAsia" w:cstheme="majorBidi"/>
      <w:color w:val="272727" w:themeColor="text1" w:themeTint="D8"/>
    </w:rPr>
  </w:style>
  <w:style w:type="paragraph" w:styleId="Title">
    <w:name w:val="Title"/>
    <w:basedOn w:val="Normal"/>
    <w:next w:val="Normal"/>
    <w:link w:val="TitleChar"/>
    <w:uiPriority w:val="10"/>
    <w:qFormat/>
    <w:rsid w:val="00B17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B10"/>
    <w:pPr>
      <w:spacing w:before="160"/>
      <w:jc w:val="center"/>
    </w:pPr>
    <w:rPr>
      <w:i/>
      <w:iCs/>
      <w:color w:val="404040" w:themeColor="text1" w:themeTint="BF"/>
    </w:rPr>
  </w:style>
  <w:style w:type="character" w:customStyle="1" w:styleId="QuoteChar">
    <w:name w:val="Quote Char"/>
    <w:basedOn w:val="DefaultParagraphFont"/>
    <w:link w:val="Quote"/>
    <w:uiPriority w:val="29"/>
    <w:rsid w:val="00B17B10"/>
    <w:rPr>
      <w:i/>
      <w:iCs/>
      <w:color w:val="404040" w:themeColor="text1" w:themeTint="BF"/>
    </w:rPr>
  </w:style>
  <w:style w:type="paragraph" w:styleId="ListParagraph">
    <w:name w:val="List Paragraph"/>
    <w:basedOn w:val="Normal"/>
    <w:uiPriority w:val="34"/>
    <w:qFormat/>
    <w:rsid w:val="00B17B10"/>
    <w:pPr>
      <w:ind w:left="720"/>
      <w:contextualSpacing/>
    </w:pPr>
  </w:style>
  <w:style w:type="character" w:styleId="IntenseEmphasis">
    <w:name w:val="Intense Emphasis"/>
    <w:basedOn w:val="DefaultParagraphFont"/>
    <w:uiPriority w:val="21"/>
    <w:qFormat/>
    <w:rsid w:val="00B17B10"/>
    <w:rPr>
      <w:i/>
      <w:iCs/>
      <w:color w:val="0F4761" w:themeColor="accent1" w:themeShade="BF"/>
    </w:rPr>
  </w:style>
  <w:style w:type="paragraph" w:styleId="IntenseQuote">
    <w:name w:val="Intense Quote"/>
    <w:basedOn w:val="Normal"/>
    <w:next w:val="Normal"/>
    <w:link w:val="IntenseQuoteChar"/>
    <w:uiPriority w:val="30"/>
    <w:qFormat/>
    <w:rsid w:val="00B17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B10"/>
    <w:rPr>
      <w:i/>
      <w:iCs/>
      <w:color w:val="0F4761" w:themeColor="accent1" w:themeShade="BF"/>
    </w:rPr>
  </w:style>
  <w:style w:type="character" w:styleId="IntenseReference">
    <w:name w:val="Intense Reference"/>
    <w:basedOn w:val="DefaultParagraphFont"/>
    <w:uiPriority w:val="32"/>
    <w:qFormat/>
    <w:rsid w:val="00B17B10"/>
    <w:rPr>
      <w:b/>
      <w:bCs/>
      <w:smallCaps/>
      <w:color w:val="0F4761" w:themeColor="accent1" w:themeShade="BF"/>
      <w:spacing w:val="5"/>
    </w:rPr>
  </w:style>
  <w:style w:type="character" w:customStyle="1" w:styleId="normaltextrun">
    <w:name w:val="normaltextrun"/>
    <w:basedOn w:val="DefaultParagraphFont"/>
    <w:rsid w:val="00B17B10"/>
  </w:style>
  <w:style w:type="paragraph" w:customStyle="1" w:styleId="Bullets">
    <w:name w:val="Bullets"/>
    <w:basedOn w:val="ListParagraph"/>
    <w:qFormat/>
    <w:rsid w:val="00B17B10"/>
    <w:pPr>
      <w:numPr>
        <w:numId w:val="1"/>
      </w:numPr>
      <w:spacing w:before="120" w:after="0" w:line="240" w:lineRule="auto"/>
      <w:ind w:right="312"/>
      <w:contextualSpacing w:val="0"/>
      <w:jc w:val="both"/>
    </w:pPr>
    <w:rPr>
      <w:rFonts w:ascii="Arial" w:eastAsia="Calibri" w:hAnsi="Arial" w:cs="Arial"/>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qanow.sharepoint.com/sites/intranet/Qualifications%20policies/Governing%20Principl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Burns</dc:creator>
  <cp:keywords/>
  <dc:description/>
  <cp:lastModifiedBy>Aimee Burns</cp:lastModifiedBy>
  <cp:revision>2</cp:revision>
  <dcterms:created xsi:type="dcterms:W3CDTF">2025-10-23T16:37:00Z</dcterms:created>
  <dcterms:modified xsi:type="dcterms:W3CDTF">2025-10-23T16:37:00Z</dcterms:modified>
</cp:coreProperties>
</file>