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4F567" w14:textId="77777777" w:rsidR="004453BE" w:rsidRPr="00BF5B38" w:rsidRDefault="004453BE" w:rsidP="004453BE">
      <w:pPr>
        <w:spacing w:after="0" w:line="240" w:lineRule="auto"/>
        <w:rPr>
          <w:rFonts w:ascii="Arial" w:eastAsia="Times New Roman" w:hAnsi="Arial" w:cs="Arial"/>
          <w:sz w:val="20"/>
          <w:szCs w:val="20"/>
        </w:rPr>
      </w:pPr>
      <w:r w:rsidRPr="00BF5B38">
        <w:rPr>
          <w:rFonts w:ascii="Arial" w:eastAsia="Calibri" w:hAnsi="Arial" w:cs="Arial"/>
          <w:b/>
          <w:noProof/>
          <w:sz w:val="28"/>
          <w:szCs w:val="28"/>
        </w:rPr>
        <w:drawing>
          <wp:anchor distT="0" distB="0" distL="114300" distR="114300" simplePos="0" relativeHeight="251665408" behindDoc="1" locked="0" layoutInCell="1" allowOverlap="1" wp14:anchorId="4E1A296B" wp14:editId="080D8B35">
            <wp:simplePos x="0" y="0"/>
            <wp:positionH relativeFrom="margin">
              <wp:posOffset>3342005</wp:posOffset>
            </wp:positionH>
            <wp:positionV relativeFrom="margin">
              <wp:posOffset>-493395</wp:posOffset>
            </wp:positionV>
            <wp:extent cx="3305810" cy="1427141"/>
            <wp:effectExtent l="0" t="0" r="0" b="190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523" t="2561" r="644" b="88942"/>
                    <a:stretch/>
                  </pic:blipFill>
                  <pic:spPr bwMode="auto">
                    <a:xfrm>
                      <a:off x="0" y="0"/>
                      <a:ext cx="3496312" cy="15093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C72D68" w14:textId="77777777" w:rsidR="004453BE" w:rsidRPr="00BF5B38" w:rsidRDefault="004453BE" w:rsidP="004453BE">
      <w:pPr>
        <w:spacing w:after="0" w:line="240" w:lineRule="auto"/>
        <w:rPr>
          <w:rFonts w:ascii="Arial" w:eastAsia="Times New Roman" w:hAnsi="Arial" w:cs="Arial"/>
          <w:sz w:val="20"/>
          <w:szCs w:val="20"/>
        </w:rPr>
      </w:pPr>
    </w:p>
    <w:p w14:paraId="5425E970" w14:textId="77777777" w:rsidR="004453BE" w:rsidRPr="00BF5B38" w:rsidRDefault="004453BE" w:rsidP="004453BE">
      <w:pPr>
        <w:spacing w:after="0" w:line="240" w:lineRule="auto"/>
        <w:rPr>
          <w:rFonts w:ascii="Arial" w:eastAsia="Times New Roman" w:hAnsi="Arial" w:cs="Arial"/>
          <w:sz w:val="20"/>
          <w:szCs w:val="20"/>
        </w:rPr>
      </w:pPr>
    </w:p>
    <w:p w14:paraId="4D7954CA" w14:textId="77777777" w:rsidR="004453BE" w:rsidRPr="00BF5B38" w:rsidRDefault="004453BE" w:rsidP="004453BE">
      <w:pPr>
        <w:spacing w:after="0" w:line="240" w:lineRule="auto"/>
        <w:rPr>
          <w:rFonts w:ascii="Arial" w:eastAsia="Times New Roman" w:hAnsi="Arial" w:cs="Arial"/>
          <w:sz w:val="20"/>
          <w:szCs w:val="20"/>
        </w:rPr>
      </w:pPr>
    </w:p>
    <w:p w14:paraId="42B6A0D3" w14:textId="77777777" w:rsidR="004453BE" w:rsidRPr="00BF5B38" w:rsidRDefault="004453BE" w:rsidP="004453BE">
      <w:pPr>
        <w:spacing w:after="0" w:line="240" w:lineRule="auto"/>
        <w:rPr>
          <w:rFonts w:ascii="Arial" w:eastAsia="Times New Roman" w:hAnsi="Arial" w:cs="Arial"/>
          <w:sz w:val="20"/>
          <w:szCs w:val="20"/>
        </w:rPr>
      </w:pPr>
    </w:p>
    <w:p w14:paraId="73449784" w14:textId="77777777" w:rsidR="004453BE" w:rsidRPr="00BF5B38" w:rsidRDefault="004453BE" w:rsidP="004453BE">
      <w:pPr>
        <w:spacing w:after="0" w:line="240" w:lineRule="auto"/>
        <w:rPr>
          <w:rFonts w:ascii="Arial" w:eastAsia="Times New Roman" w:hAnsi="Arial" w:cs="Arial"/>
          <w:sz w:val="20"/>
          <w:szCs w:val="20"/>
        </w:rPr>
      </w:pPr>
    </w:p>
    <w:p w14:paraId="29758D21" w14:textId="77777777" w:rsidR="004453BE" w:rsidRPr="00BF5B38" w:rsidRDefault="004453BE" w:rsidP="004453BE">
      <w:pPr>
        <w:spacing w:after="0" w:line="240" w:lineRule="auto"/>
        <w:rPr>
          <w:rFonts w:ascii="Arial" w:eastAsia="Times New Roman" w:hAnsi="Arial" w:cs="Arial"/>
          <w:sz w:val="20"/>
          <w:szCs w:val="20"/>
        </w:rPr>
      </w:pPr>
    </w:p>
    <w:p w14:paraId="1DB3ED4D" w14:textId="77777777" w:rsidR="004453BE" w:rsidRPr="00BF5B38" w:rsidRDefault="004453BE" w:rsidP="004453BE">
      <w:pPr>
        <w:spacing w:after="0" w:line="240" w:lineRule="auto"/>
        <w:rPr>
          <w:rFonts w:ascii="Arial" w:eastAsia="Times New Roman" w:hAnsi="Arial" w:cs="Arial"/>
          <w:sz w:val="20"/>
          <w:szCs w:val="20"/>
        </w:rPr>
      </w:pPr>
    </w:p>
    <w:p w14:paraId="1AA3734C" w14:textId="77777777" w:rsidR="004453BE" w:rsidRPr="00BF5B38" w:rsidRDefault="004453BE" w:rsidP="004453BE">
      <w:pPr>
        <w:spacing w:after="0" w:line="240" w:lineRule="auto"/>
        <w:rPr>
          <w:rFonts w:ascii="Arial" w:eastAsiaTheme="majorEastAsia" w:hAnsi="Arial" w:cs="Arial"/>
          <w:b/>
          <w:sz w:val="32"/>
          <w:szCs w:val="20"/>
        </w:rPr>
      </w:pPr>
    </w:p>
    <w:p w14:paraId="0B8AF9AA" w14:textId="77777777" w:rsidR="004453BE" w:rsidRPr="00BF5B38" w:rsidRDefault="004453BE" w:rsidP="004453BE">
      <w:pPr>
        <w:spacing w:after="0" w:line="240" w:lineRule="auto"/>
        <w:rPr>
          <w:rFonts w:ascii="Arial" w:eastAsiaTheme="majorEastAsia" w:hAnsi="Arial" w:cs="Arial"/>
          <w:b/>
          <w:sz w:val="32"/>
          <w:szCs w:val="20"/>
        </w:rPr>
      </w:pPr>
    </w:p>
    <w:p w14:paraId="6D989412" w14:textId="77777777" w:rsidR="004453BE" w:rsidRPr="00BF5B38" w:rsidRDefault="004453BE" w:rsidP="004453BE">
      <w:pPr>
        <w:spacing w:after="0" w:line="240" w:lineRule="auto"/>
        <w:rPr>
          <w:rFonts w:ascii="Arial" w:eastAsiaTheme="majorEastAsia" w:hAnsi="Arial" w:cs="Arial"/>
          <w:b/>
          <w:sz w:val="32"/>
          <w:szCs w:val="20"/>
        </w:rPr>
      </w:pPr>
    </w:p>
    <w:p w14:paraId="117561EA" w14:textId="77777777" w:rsidR="004453BE" w:rsidRPr="00BF5B38" w:rsidRDefault="004453BE" w:rsidP="004453BE">
      <w:pPr>
        <w:spacing w:after="0" w:line="240" w:lineRule="auto"/>
        <w:rPr>
          <w:rFonts w:ascii="Arial" w:eastAsiaTheme="majorEastAsia" w:hAnsi="Arial" w:cs="Arial"/>
          <w:b/>
          <w:sz w:val="32"/>
          <w:szCs w:val="20"/>
        </w:rPr>
      </w:pPr>
    </w:p>
    <w:p w14:paraId="5F3A0CB9" w14:textId="77777777" w:rsidR="004453BE" w:rsidRPr="00BF5B38" w:rsidRDefault="004453BE" w:rsidP="004453BE">
      <w:pPr>
        <w:spacing w:after="0" w:line="240" w:lineRule="auto"/>
        <w:rPr>
          <w:rFonts w:ascii="Arial" w:eastAsiaTheme="majorEastAsia" w:hAnsi="Arial" w:cs="Arial"/>
          <w:b/>
          <w:sz w:val="32"/>
          <w:szCs w:val="20"/>
        </w:rPr>
      </w:pPr>
    </w:p>
    <w:p w14:paraId="5106F052" w14:textId="77777777" w:rsidR="004453BE" w:rsidRPr="00BF5B38" w:rsidRDefault="004453BE" w:rsidP="004453BE">
      <w:pPr>
        <w:spacing w:after="0" w:line="240" w:lineRule="auto"/>
        <w:rPr>
          <w:rFonts w:ascii="Arial" w:eastAsiaTheme="majorEastAsia" w:hAnsi="Arial" w:cs="Arial"/>
          <w:b/>
          <w:sz w:val="32"/>
          <w:szCs w:val="20"/>
        </w:rPr>
      </w:pPr>
    </w:p>
    <w:p w14:paraId="123E4ED6" w14:textId="77777777" w:rsidR="004453BE" w:rsidRPr="00BF5B38" w:rsidRDefault="004453BE" w:rsidP="004453BE">
      <w:pPr>
        <w:spacing w:after="0" w:line="240" w:lineRule="auto"/>
        <w:rPr>
          <w:rFonts w:ascii="Arial" w:eastAsiaTheme="majorEastAsia" w:hAnsi="Arial" w:cs="Arial"/>
          <w:b/>
          <w:sz w:val="32"/>
          <w:szCs w:val="20"/>
        </w:rPr>
      </w:pPr>
    </w:p>
    <w:p w14:paraId="7B63216F" w14:textId="77777777" w:rsidR="004453BE" w:rsidRPr="00BF5B38" w:rsidRDefault="004453BE" w:rsidP="004453BE">
      <w:pPr>
        <w:spacing w:after="0" w:line="240" w:lineRule="auto"/>
        <w:rPr>
          <w:rFonts w:ascii="Arial" w:eastAsiaTheme="majorEastAsia" w:hAnsi="Arial" w:cs="Arial"/>
          <w:b/>
          <w:sz w:val="32"/>
          <w:szCs w:val="20"/>
        </w:rPr>
      </w:pPr>
    </w:p>
    <w:p w14:paraId="25069A49" w14:textId="77777777" w:rsidR="004453BE" w:rsidRDefault="004453BE" w:rsidP="004453BE">
      <w:pPr>
        <w:spacing w:after="0" w:line="240" w:lineRule="auto"/>
        <w:rPr>
          <w:rFonts w:ascii="Arial" w:eastAsiaTheme="majorEastAsia" w:hAnsi="Arial" w:cs="Arial"/>
          <w:b/>
          <w:sz w:val="32"/>
          <w:szCs w:val="20"/>
        </w:rPr>
      </w:pPr>
      <w:r w:rsidRPr="00BF5B38">
        <w:rPr>
          <w:rFonts w:ascii="Arial" w:eastAsiaTheme="majorEastAsia" w:hAnsi="Arial" w:cs="Arial"/>
          <w:b/>
          <w:sz w:val="32"/>
          <w:szCs w:val="20"/>
        </w:rPr>
        <w:t>Assessment Strategy</w:t>
      </w:r>
    </w:p>
    <w:p w14:paraId="6D87963D" w14:textId="77777777" w:rsidR="00DB78BF" w:rsidRPr="00BF5B38" w:rsidRDefault="00DB78BF" w:rsidP="004453BE">
      <w:pPr>
        <w:spacing w:after="0" w:line="240" w:lineRule="auto"/>
        <w:rPr>
          <w:rFonts w:ascii="Arial" w:eastAsia="Times New Roman" w:hAnsi="Arial" w:cs="Arial"/>
          <w:sz w:val="20"/>
          <w:szCs w:val="20"/>
        </w:rPr>
      </w:pPr>
    </w:p>
    <w:tbl>
      <w:tblPr>
        <w:tblStyle w:val="TableGrid1"/>
        <w:tblW w:w="0" w:type="auto"/>
        <w:tblLook w:val="04A0" w:firstRow="1" w:lastRow="0" w:firstColumn="1" w:lastColumn="0" w:noHBand="0" w:noVBand="1"/>
      </w:tblPr>
      <w:tblGrid>
        <w:gridCol w:w="4540"/>
        <w:gridCol w:w="4476"/>
      </w:tblGrid>
      <w:tr w:rsidR="004453BE" w:rsidRPr="00BF5B38" w14:paraId="139D4CF0" w14:textId="77777777" w:rsidTr="00A22807">
        <w:tc>
          <w:tcPr>
            <w:tcW w:w="4540" w:type="dxa"/>
          </w:tcPr>
          <w:p w14:paraId="095998D9" w14:textId="77777777" w:rsidR="004453BE" w:rsidRPr="00BF5B38" w:rsidRDefault="004453BE" w:rsidP="00A22807">
            <w:pPr>
              <w:rPr>
                <w:rFonts w:ascii="Arial" w:eastAsiaTheme="majorEastAsia" w:hAnsi="Arial" w:cs="Arial"/>
                <w:b/>
                <w:sz w:val="32"/>
              </w:rPr>
            </w:pPr>
            <w:r w:rsidRPr="00BF5B38">
              <w:rPr>
                <w:rFonts w:ascii="Arial" w:eastAsiaTheme="majorEastAsia" w:hAnsi="Arial" w:cs="Arial"/>
                <w:b/>
                <w:sz w:val="32"/>
              </w:rPr>
              <w:t>Sector</w:t>
            </w:r>
          </w:p>
        </w:tc>
        <w:tc>
          <w:tcPr>
            <w:tcW w:w="4476" w:type="dxa"/>
          </w:tcPr>
          <w:p w14:paraId="4D496465" w14:textId="77777777" w:rsidR="004453BE" w:rsidRPr="00BF5B38" w:rsidRDefault="004453BE" w:rsidP="00A22807">
            <w:pPr>
              <w:rPr>
                <w:rFonts w:ascii="Arial" w:hAnsi="Arial" w:cs="Arial"/>
                <w:b/>
                <w:bCs/>
                <w:sz w:val="24"/>
                <w:szCs w:val="24"/>
              </w:rPr>
            </w:pPr>
            <w:r w:rsidRPr="00BF5B38">
              <w:rPr>
                <w:rFonts w:ascii="Arial" w:hAnsi="Arial" w:cs="Arial"/>
                <w:b/>
                <w:bCs/>
                <w:sz w:val="24"/>
                <w:szCs w:val="24"/>
              </w:rPr>
              <w:t>Engineering</w:t>
            </w:r>
          </w:p>
        </w:tc>
      </w:tr>
      <w:tr w:rsidR="004453BE" w:rsidRPr="00BF5B38" w14:paraId="40F30486" w14:textId="77777777" w:rsidTr="00A22807">
        <w:tc>
          <w:tcPr>
            <w:tcW w:w="4540" w:type="dxa"/>
          </w:tcPr>
          <w:p w14:paraId="149D494A" w14:textId="77777777" w:rsidR="004453BE" w:rsidRPr="00BF5B38" w:rsidRDefault="004453BE" w:rsidP="00A22807">
            <w:pPr>
              <w:rPr>
                <w:rFonts w:ascii="Arial" w:eastAsiaTheme="majorEastAsia" w:hAnsi="Arial" w:cs="Arial"/>
                <w:b/>
                <w:sz w:val="32"/>
              </w:rPr>
            </w:pPr>
            <w:r w:rsidRPr="00BF5B38">
              <w:rPr>
                <w:rFonts w:ascii="Arial" w:eastAsiaTheme="majorEastAsia" w:hAnsi="Arial" w:cs="Arial"/>
                <w:b/>
                <w:sz w:val="32"/>
              </w:rPr>
              <w:t>Qualification Title(s)</w:t>
            </w:r>
          </w:p>
        </w:tc>
        <w:tc>
          <w:tcPr>
            <w:tcW w:w="4476" w:type="dxa"/>
          </w:tcPr>
          <w:p w14:paraId="711154E7" w14:textId="72E4FF1C" w:rsidR="004453BE" w:rsidRPr="00BF5B38" w:rsidRDefault="004453BE" w:rsidP="00A22807">
            <w:pPr>
              <w:rPr>
                <w:rFonts w:ascii="Arial" w:hAnsi="Arial" w:cs="Arial"/>
                <w:b/>
                <w:bCs/>
                <w:sz w:val="24"/>
                <w:szCs w:val="24"/>
              </w:rPr>
            </w:pPr>
            <w:r>
              <w:rPr>
                <w:rFonts w:ascii="Arial" w:hAnsi="Arial" w:cs="Arial"/>
                <w:b/>
                <w:bCs/>
                <w:sz w:val="24"/>
                <w:szCs w:val="24"/>
              </w:rPr>
              <w:t>Diploma in Engineering at SCQF Level 7</w:t>
            </w:r>
          </w:p>
        </w:tc>
      </w:tr>
      <w:tr w:rsidR="004453BE" w:rsidRPr="00BF5B38" w14:paraId="0A625E1E" w14:textId="77777777" w:rsidTr="00A22807">
        <w:tc>
          <w:tcPr>
            <w:tcW w:w="4540" w:type="dxa"/>
          </w:tcPr>
          <w:p w14:paraId="46016404" w14:textId="77777777" w:rsidR="004453BE" w:rsidRPr="00BF5B38" w:rsidRDefault="004453BE" w:rsidP="00A22807">
            <w:pPr>
              <w:rPr>
                <w:rFonts w:ascii="Arial" w:eastAsiaTheme="majorEastAsia" w:hAnsi="Arial" w:cs="Arial"/>
                <w:b/>
                <w:sz w:val="32"/>
              </w:rPr>
            </w:pPr>
            <w:r w:rsidRPr="00BF5B38">
              <w:rPr>
                <w:rFonts w:ascii="Arial" w:eastAsiaTheme="majorEastAsia" w:hAnsi="Arial" w:cs="Arial"/>
                <w:b/>
                <w:sz w:val="32"/>
              </w:rPr>
              <w:t>Developed by</w:t>
            </w:r>
          </w:p>
        </w:tc>
        <w:tc>
          <w:tcPr>
            <w:tcW w:w="4476" w:type="dxa"/>
          </w:tcPr>
          <w:p w14:paraId="3E66D767" w14:textId="77777777" w:rsidR="004453BE" w:rsidRPr="00BF5B38" w:rsidRDefault="004453BE" w:rsidP="00A22807">
            <w:pPr>
              <w:rPr>
                <w:rFonts w:ascii="Arial" w:hAnsi="Arial" w:cs="Arial"/>
                <w:b/>
                <w:bCs/>
                <w:sz w:val="24"/>
                <w:szCs w:val="24"/>
              </w:rPr>
            </w:pPr>
            <w:r w:rsidRPr="00BF5B38">
              <w:rPr>
                <w:rFonts w:ascii="Arial" w:hAnsi="Arial" w:cs="Arial"/>
                <w:b/>
                <w:bCs/>
                <w:sz w:val="24"/>
                <w:szCs w:val="24"/>
              </w:rPr>
              <w:t>Enginuity</w:t>
            </w:r>
            <w:r>
              <w:rPr>
                <w:rFonts w:ascii="Arial" w:hAnsi="Arial" w:cs="Arial"/>
                <w:b/>
                <w:bCs/>
                <w:sz w:val="24"/>
                <w:szCs w:val="24"/>
              </w:rPr>
              <w:t xml:space="preserve"> (on behalf of the Engineering Qualification Design Group)</w:t>
            </w:r>
          </w:p>
        </w:tc>
      </w:tr>
      <w:tr w:rsidR="004453BE" w:rsidRPr="00BF5B38" w14:paraId="14611057" w14:textId="77777777" w:rsidTr="00A22807">
        <w:tc>
          <w:tcPr>
            <w:tcW w:w="4540" w:type="dxa"/>
          </w:tcPr>
          <w:p w14:paraId="7AC15440" w14:textId="77777777" w:rsidR="004453BE" w:rsidRPr="00BF5B38" w:rsidRDefault="004453BE" w:rsidP="00A22807">
            <w:pPr>
              <w:rPr>
                <w:rFonts w:ascii="Arial" w:eastAsiaTheme="majorEastAsia" w:hAnsi="Arial" w:cs="Arial"/>
                <w:b/>
                <w:sz w:val="32"/>
              </w:rPr>
            </w:pPr>
            <w:r w:rsidRPr="00BF5B38">
              <w:rPr>
                <w:rFonts w:ascii="Arial" w:eastAsiaTheme="majorEastAsia" w:hAnsi="Arial" w:cs="Arial"/>
                <w:b/>
                <w:sz w:val="32"/>
              </w:rPr>
              <w:t>Date approved by ACG</w:t>
            </w:r>
          </w:p>
        </w:tc>
        <w:tc>
          <w:tcPr>
            <w:tcW w:w="4476" w:type="dxa"/>
          </w:tcPr>
          <w:p w14:paraId="65CA13A8" w14:textId="0080419D" w:rsidR="004453BE" w:rsidRPr="00BF5B38" w:rsidRDefault="00FC5876" w:rsidP="00A22807">
            <w:pPr>
              <w:rPr>
                <w:rFonts w:ascii="Arial" w:hAnsi="Arial" w:cs="Arial"/>
                <w:b/>
                <w:bCs/>
                <w:sz w:val="24"/>
                <w:szCs w:val="24"/>
              </w:rPr>
            </w:pPr>
            <w:r>
              <w:rPr>
                <w:rFonts w:ascii="Arial" w:hAnsi="Arial" w:cs="Arial"/>
                <w:b/>
                <w:bCs/>
                <w:sz w:val="24"/>
                <w:szCs w:val="24"/>
              </w:rPr>
              <w:t>02/04/2025</w:t>
            </w:r>
          </w:p>
        </w:tc>
      </w:tr>
      <w:tr w:rsidR="004453BE" w:rsidRPr="00BF5B38" w14:paraId="65D5363A" w14:textId="77777777" w:rsidTr="00A22807">
        <w:trPr>
          <w:trHeight w:val="160"/>
        </w:trPr>
        <w:tc>
          <w:tcPr>
            <w:tcW w:w="4540" w:type="dxa"/>
          </w:tcPr>
          <w:p w14:paraId="6ABC9A31" w14:textId="77777777" w:rsidR="004453BE" w:rsidRPr="00BF5B38" w:rsidRDefault="004453BE" w:rsidP="00A22807">
            <w:pPr>
              <w:rPr>
                <w:rFonts w:ascii="Arial" w:eastAsiaTheme="majorEastAsia" w:hAnsi="Arial" w:cs="Arial"/>
                <w:b/>
                <w:sz w:val="32"/>
              </w:rPr>
            </w:pPr>
            <w:r w:rsidRPr="00BF5B38">
              <w:rPr>
                <w:rFonts w:ascii="Arial" w:eastAsiaTheme="majorEastAsia" w:hAnsi="Arial" w:cs="Arial"/>
                <w:b/>
                <w:sz w:val="32"/>
              </w:rPr>
              <w:t xml:space="preserve">Version </w:t>
            </w:r>
          </w:p>
        </w:tc>
        <w:tc>
          <w:tcPr>
            <w:tcW w:w="4476" w:type="dxa"/>
          </w:tcPr>
          <w:p w14:paraId="607439AB" w14:textId="499E2708" w:rsidR="004453BE" w:rsidRPr="00BF5B38" w:rsidRDefault="00E6054A" w:rsidP="00A22807">
            <w:pPr>
              <w:rPr>
                <w:rFonts w:ascii="Arial" w:hAnsi="Arial" w:cs="Arial"/>
                <w:b/>
                <w:bCs/>
                <w:sz w:val="24"/>
                <w:szCs w:val="24"/>
              </w:rPr>
            </w:pPr>
            <w:r>
              <w:rPr>
                <w:rFonts w:ascii="Arial" w:hAnsi="Arial" w:cs="Arial"/>
                <w:b/>
                <w:bCs/>
                <w:sz w:val="24"/>
                <w:szCs w:val="24"/>
              </w:rPr>
              <w:t>2</w:t>
            </w:r>
          </w:p>
        </w:tc>
      </w:tr>
    </w:tbl>
    <w:p w14:paraId="3F8E387F" w14:textId="77777777" w:rsidR="004453BE" w:rsidRPr="00BF5B38" w:rsidRDefault="004453BE" w:rsidP="004453BE">
      <w:pPr>
        <w:spacing w:after="0" w:line="240" w:lineRule="auto"/>
        <w:rPr>
          <w:rFonts w:ascii="Arial" w:eastAsia="Times New Roman" w:hAnsi="Arial" w:cs="Arial"/>
          <w:sz w:val="20"/>
          <w:szCs w:val="20"/>
        </w:rPr>
      </w:pPr>
    </w:p>
    <w:p w14:paraId="368369F9" w14:textId="3802C395" w:rsidR="004453BE" w:rsidRDefault="004453BE">
      <w:pPr>
        <w:rPr>
          <w:rFonts w:ascii="Arial" w:hAnsi="Arial" w:cs="Arial"/>
          <w:b/>
          <w:bCs/>
        </w:rPr>
      </w:pPr>
      <w:r>
        <w:rPr>
          <w:rFonts w:ascii="Arial" w:hAnsi="Arial" w:cs="Arial"/>
          <w:b/>
          <w:bCs/>
        </w:rPr>
        <w:br w:type="page"/>
      </w:r>
    </w:p>
    <w:p w14:paraId="5D15EF2A" w14:textId="77777777" w:rsidR="00A447E4" w:rsidRDefault="00A447E4" w:rsidP="00176B6B">
      <w:pPr>
        <w:spacing w:line="276" w:lineRule="auto"/>
        <w:jc w:val="center"/>
        <w:rPr>
          <w:rFonts w:ascii="Arial" w:hAnsi="Arial" w:cs="Arial"/>
          <w:b/>
          <w:bCs/>
          <w:sz w:val="32"/>
          <w:szCs w:val="32"/>
        </w:rPr>
      </w:pPr>
    </w:p>
    <w:p w14:paraId="545D6A47" w14:textId="22F0770A" w:rsidR="00D46961" w:rsidRDefault="00D46961" w:rsidP="00176B6B">
      <w:pPr>
        <w:spacing w:line="276" w:lineRule="auto"/>
        <w:jc w:val="center"/>
        <w:rPr>
          <w:rFonts w:ascii="Arial" w:hAnsi="Arial" w:cs="Arial"/>
          <w:b/>
          <w:bCs/>
          <w:sz w:val="32"/>
          <w:szCs w:val="32"/>
        </w:rPr>
      </w:pPr>
    </w:p>
    <w:p w14:paraId="3948E1DC" w14:textId="77777777" w:rsidR="00D46961" w:rsidRPr="00D46961" w:rsidRDefault="00D46961" w:rsidP="00176B6B">
      <w:pPr>
        <w:spacing w:line="276" w:lineRule="auto"/>
        <w:jc w:val="center"/>
        <w:rPr>
          <w:rFonts w:ascii="Arial" w:hAnsi="Arial" w:cs="Arial"/>
          <w:b/>
          <w:bCs/>
          <w:sz w:val="32"/>
          <w:szCs w:val="32"/>
        </w:rPr>
      </w:pPr>
    </w:p>
    <w:p w14:paraId="4E7CBEA7" w14:textId="77777777" w:rsidR="009D02EF" w:rsidRPr="00AC602C" w:rsidRDefault="009D02EF" w:rsidP="009D02EF">
      <w:pPr>
        <w:spacing w:line="276" w:lineRule="auto"/>
        <w:rPr>
          <w:rFonts w:ascii="Arial" w:hAnsi="Arial" w:cs="Arial"/>
          <w:b/>
          <w:bCs/>
          <w:sz w:val="48"/>
          <w:szCs w:val="48"/>
        </w:rPr>
      </w:pPr>
    </w:p>
    <w:p w14:paraId="1117BDE0" w14:textId="77777777" w:rsidR="009D02EF" w:rsidRPr="00AC602C" w:rsidRDefault="009D02EF" w:rsidP="009D02EF">
      <w:pPr>
        <w:spacing w:line="276" w:lineRule="auto"/>
        <w:rPr>
          <w:rFonts w:ascii="Arial" w:hAnsi="Arial" w:cs="Arial"/>
          <w:b/>
          <w:bCs/>
          <w:sz w:val="48"/>
          <w:szCs w:val="48"/>
        </w:rPr>
      </w:pPr>
    </w:p>
    <w:p w14:paraId="0E3BF566" w14:textId="7B61A53A" w:rsidR="00A447E4" w:rsidRPr="00AC602C" w:rsidRDefault="006A5D3E" w:rsidP="00F52EF6">
      <w:pPr>
        <w:spacing w:line="276" w:lineRule="auto"/>
        <w:rPr>
          <w:rFonts w:ascii="Arial" w:hAnsi="Arial" w:cs="Arial"/>
          <w:b/>
          <w:bCs/>
          <w:sz w:val="48"/>
          <w:szCs w:val="48"/>
        </w:rPr>
      </w:pPr>
      <w:r w:rsidRPr="00AC602C">
        <w:rPr>
          <w:rFonts w:ascii="Arial" w:hAnsi="Arial" w:cs="Arial"/>
          <w:b/>
          <w:bCs/>
          <w:sz w:val="48"/>
          <w:szCs w:val="48"/>
        </w:rPr>
        <w:t xml:space="preserve">Specific </w:t>
      </w:r>
      <w:r w:rsidR="00A447E4" w:rsidRPr="00AC602C">
        <w:rPr>
          <w:rFonts w:ascii="Arial" w:hAnsi="Arial" w:cs="Arial"/>
          <w:b/>
          <w:bCs/>
          <w:sz w:val="48"/>
          <w:szCs w:val="48"/>
        </w:rPr>
        <w:t>Assessment Strategy</w:t>
      </w:r>
      <w:r w:rsidR="00F52EF6" w:rsidRPr="00AC602C">
        <w:rPr>
          <w:rFonts w:ascii="Arial" w:hAnsi="Arial" w:cs="Arial"/>
          <w:b/>
          <w:bCs/>
          <w:sz w:val="48"/>
          <w:szCs w:val="48"/>
        </w:rPr>
        <w:t xml:space="preserve"> </w:t>
      </w:r>
      <w:r w:rsidR="00F10073" w:rsidRPr="00AC602C">
        <w:rPr>
          <w:rFonts w:ascii="Arial" w:hAnsi="Arial" w:cs="Arial"/>
          <w:b/>
          <w:bCs/>
          <w:sz w:val="48"/>
          <w:szCs w:val="48"/>
        </w:rPr>
        <w:t xml:space="preserve">Appendix </w:t>
      </w:r>
      <w:r w:rsidR="00BC233F" w:rsidRPr="00AC602C">
        <w:rPr>
          <w:rFonts w:ascii="Arial" w:hAnsi="Arial" w:cs="Arial"/>
          <w:b/>
          <w:bCs/>
          <w:sz w:val="48"/>
          <w:szCs w:val="48"/>
        </w:rPr>
        <w:t xml:space="preserve">for </w:t>
      </w:r>
      <w:r w:rsidR="001264E5" w:rsidRPr="00AC602C">
        <w:rPr>
          <w:rFonts w:ascii="Arial" w:hAnsi="Arial" w:cs="Arial"/>
          <w:b/>
          <w:bCs/>
          <w:sz w:val="48"/>
          <w:szCs w:val="48"/>
        </w:rPr>
        <w:t xml:space="preserve">Diploma in </w:t>
      </w:r>
      <w:r w:rsidRPr="00AC602C">
        <w:rPr>
          <w:rFonts w:ascii="Arial" w:hAnsi="Arial" w:cs="Arial"/>
          <w:b/>
          <w:bCs/>
          <w:sz w:val="48"/>
          <w:szCs w:val="48"/>
        </w:rPr>
        <w:t xml:space="preserve">Engineering </w:t>
      </w:r>
      <w:r w:rsidR="00F10073" w:rsidRPr="00AC602C">
        <w:rPr>
          <w:rFonts w:ascii="Arial" w:hAnsi="Arial" w:cs="Arial"/>
          <w:b/>
          <w:bCs/>
          <w:sz w:val="48"/>
          <w:szCs w:val="48"/>
        </w:rPr>
        <w:t xml:space="preserve">at </w:t>
      </w:r>
      <w:r w:rsidR="003258BA" w:rsidRPr="00AC602C">
        <w:rPr>
          <w:rFonts w:ascii="Arial" w:hAnsi="Arial" w:cs="Arial"/>
          <w:b/>
          <w:bCs/>
          <w:sz w:val="48"/>
          <w:szCs w:val="48"/>
        </w:rPr>
        <w:t xml:space="preserve">         </w:t>
      </w:r>
      <w:r w:rsidR="00F10073" w:rsidRPr="00AC602C">
        <w:rPr>
          <w:rFonts w:ascii="Arial" w:hAnsi="Arial" w:cs="Arial"/>
          <w:b/>
          <w:bCs/>
          <w:sz w:val="48"/>
          <w:szCs w:val="48"/>
        </w:rPr>
        <w:t xml:space="preserve">SCQF </w:t>
      </w:r>
      <w:r w:rsidR="0084628C" w:rsidRPr="00AC602C">
        <w:rPr>
          <w:rFonts w:ascii="Arial" w:hAnsi="Arial" w:cs="Arial"/>
          <w:b/>
          <w:bCs/>
          <w:sz w:val="48"/>
          <w:szCs w:val="48"/>
        </w:rPr>
        <w:t>L</w:t>
      </w:r>
      <w:r w:rsidR="00F10073" w:rsidRPr="00AC602C">
        <w:rPr>
          <w:rFonts w:ascii="Arial" w:hAnsi="Arial" w:cs="Arial"/>
          <w:b/>
          <w:bCs/>
          <w:sz w:val="48"/>
          <w:szCs w:val="48"/>
        </w:rPr>
        <w:t>evel</w:t>
      </w:r>
      <w:r w:rsidR="00612BE2" w:rsidRPr="00AC602C">
        <w:rPr>
          <w:rFonts w:ascii="Arial" w:hAnsi="Arial" w:cs="Arial"/>
          <w:b/>
          <w:bCs/>
          <w:sz w:val="48"/>
          <w:szCs w:val="48"/>
        </w:rPr>
        <w:t xml:space="preserve"> </w:t>
      </w:r>
      <w:r w:rsidR="007B5F36" w:rsidRPr="00AC602C">
        <w:rPr>
          <w:rFonts w:ascii="Arial" w:hAnsi="Arial" w:cs="Arial"/>
          <w:b/>
          <w:bCs/>
          <w:sz w:val="48"/>
          <w:szCs w:val="48"/>
        </w:rPr>
        <w:t>7</w:t>
      </w:r>
    </w:p>
    <w:p w14:paraId="1822FE11" w14:textId="77777777" w:rsidR="00A447E4" w:rsidRPr="00D46961" w:rsidRDefault="00A447E4" w:rsidP="00D46961">
      <w:pPr>
        <w:spacing w:line="276" w:lineRule="auto"/>
        <w:rPr>
          <w:rFonts w:ascii="Arial" w:hAnsi="Arial" w:cs="Arial"/>
          <w:b/>
          <w:bCs/>
          <w:sz w:val="32"/>
          <w:szCs w:val="32"/>
        </w:rPr>
      </w:pPr>
    </w:p>
    <w:p w14:paraId="3999B57A" w14:textId="77777777" w:rsidR="00A447E4" w:rsidRPr="00D46961" w:rsidRDefault="00A447E4" w:rsidP="00176B6B">
      <w:pPr>
        <w:spacing w:line="276" w:lineRule="auto"/>
        <w:jc w:val="center"/>
        <w:rPr>
          <w:rFonts w:ascii="Arial" w:hAnsi="Arial" w:cs="Arial"/>
          <w:b/>
          <w:bCs/>
          <w:sz w:val="32"/>
          <w:szCs w:val="32"/>
        </w:rPr>
      </w:pPr>
    </w:p>
    <w:p w14:paraId="471FC51D" w14:textId="1BE3858A" w:rsidR="004B0BAB" w:rsidRDefault="004B0BAB" w:rsidP="00176B6B">
      <w:pPr>
        <w:spacing w:line="276" w:lineRule="auto"/>
        <w:jc w:val="center"/>
        <w:rPr>
          <w:rFonts w:ascii="Arial" w:hAnsi="Arial" w:cs="Arial"/>
          <w:b/>
          <w:bCs/>
          <w:sz w:val="32"/>
          <w:szCs w:val="32"/>
        </w:rPr>
      </w:pPr>
    </w:p>
    <w:p w14:paraId="0286B0AA" w14:textId="77777777" w:rsidR="00BD0E1F" w:rsidRDefault="00BD0E1F" w:rsidP="00176B6B">
      <w:pPr>
        <w:spacing w:line="276" w:lineRule="auto"/>
        <w:jc w:val="center"/>
        <w:rPr>
          <w:rFonts w:ascii="Arial" w:hAnsi="Arial" w:cs="Arial"/>
          <w:b/>
          <w:bCs/>
          <w:sz w:val="32"/>
          <w:szCs w:val="32"/>
        </w:rPr>
      </w:pPr>
    </w:p>
    <w:p w14:paraId="45CFC40C" w14:textId="4EA0D0E8" w:rsidR="004B0BAB" w:rsidRDefault="004B0BAB" w:rsidP="00176B6B">
      <w:pPr>
        <w:spacing w:line="276" w:lineRule="auto"/>
        <w:jc w:val="center"/>
        <w:rPr>
          <w:rFonts w:ascii="Arial" w:hAnsi="Arial" w:cs="Arial"/>
          <w:b/>
          <w:bCs/>
          <w:sz w:val="32"/>
          <w:szCs w:val="32"/>
        </w:rPr>
      </w:pPr>
    </w:p>
    <w:p w14:paraId="5165E876" w14:textId="5B5A2C9E" w:rsidR="00F52EF6" w:rsidRDefault="00F52EF6" w:rsidP="004B0BAB">
      <w:pPr>
        <w:spacing w:line="276" w:lineRule="auto"/>
        <w:rPr>
          <w:rFonts w:ascii="Arial" w:hAnsi="Arial" w:cs="Arial"/>
          <w:b/>
          <w:bCs/>
          <w:color w:val="056170"/>
          <w:sz w:val="32"/>
          <w:szCs w:val="32"/>
        </w:rPr>
      </w:pPr>
      <w:r>
        <w:rPr>
          <w:rFonts w:ascii="Arial" w:hAnsi="Arial" w:cs="Arial"/>
          <w:b/>
          <w:bCs/>
          <w:color w:val="056170"/>
          <w:sz w:val="32"/>
          <w:szCs w:val="32"/>
        </w:rPr>
        <w:t xml:space="preserve">Produced by: </w:t>
      </w:r>
      <w:r w:rsidR="00BD580B">
        <w:rPr>
          <w:rFonts w:ascii="Arial" w:hAnsi="Arial" w:cs="Arial"/>
          <w:b/>
          <w:bCs/>
          <w:color w:val="056170"/>
          <w:sz w:val="32"/>
          <w:szCs w:val="32"/>
        </w:rPr>
        <w:t xml:space="preserve">Enginuity on behalf of </w:t>
      </w:r>
      <w:r w:rsidRPr="00BD580B">
        <w:rPr>
          <w:rFonts w:ascii="Arial" w:hAnsi="Arial" w:cs="Arial"/>
          <w:b/>
          <w:bCs/>
          <w:color w:val="056170"/>
          <w:sz w:val="32"/>
          <w:szCs w:val="32"/>
        </w:rPr>
        <w:t>Skills Development Scotland</w:t>
      </w:r>
    </w:p>
    <w:p w14:paraId="0A7B383D" w14:textId="3739842D" w:rsidR="004B0BAB" w:rsidRPr="009D02EF" w:rsidRDefault="004B0BAB" w:rsidP="004B0BAB">
      <w:pPr>
        <w:spacing w:line="276" w:lineRule="auto"/>
        <w:rPr>
          <w:rFonts w:ascii="Arial" w:hAnsi="Arial" w:cs="Arial"/>
          <w:b/>
          <w:bCs/>
          <w:color w:val="056170"/>
          <w:sz w:val="32"/>
          <w:szCs w:val="32"/>
        </w:rPr>
      </w:pPr>
    </w:p>
    <w:p w14:paraId="1E691740" w14:textId="2C69495C" w:rsidR="004B0BAB" w:rsidRPr="009D02EF" w:rsidRDefault="004B0BAB" w:rsidP="004B0BAB">
      <w:pPr>
        <w:spacing w:line="276" w:lineRule="auto"/>
        <w:rPr>
          <w:rFonts w:ascii="Arial" w:hAnsi="Arial" w:cs="Arial"/>
          <w:b/>
          <w:bCs/>
          <w:color w:val="056170"/>
          <w:sz w:val="32"/>
          <w:szCs w:val="32"/>
        </w:rPr>
      </w:pPr>
    </w:p>
    <w:p w14:paraId="52685CF5" w14:textId="77777777" w:rsidR="00A447E4" w:rsidRPr="00C97186" w:rsidRDefault="00A447E4" w:rsidP="00176B6B">
      <w:pPr>
        <w:spacing w:line="276" w:lineRule="auto"/>
        <w:rPr>
          <w:rFonts w:ascii="Arial" w:hAnsi="Arial" w:cs="Arial"/>
          <w:b/>
          <w:bCs/>
        </w:rPr>
      </w:pPr>
    </w:p>
    <w:p w14:paraId="08C2F414" w14:textId="77777777" w:rsidR="00A447E4" w:rsidRPr="00C97186" w:rsidRDefault="00A447E4" w:rsidP="00176B6B">
      <w:pPr>
        <w:spacing w:line="276" w:lineRule="auto"/>
        <w:jc w:val="center"/>
        <w:rPr>
          <w:rFonts w:ascii="Arial" w:hAnsi="Arial" w:cs="Arial"/>
          <w:b/>
          <w:bCs/>
        </w:rPr>
      </w:pPr>
    </w:p>
    <w:p w14:paraId="3A1A6B46" w14:textId="77777777" w:rsidR="00A447E4" w:rsidRPr="00C97186" w:rsidRDefault="00A447E4" w:rsidP="00176B6B">
      <w:pPr>
        <w:spacing w:line="276" w:lineRule="auto"/>
        <w:jc w:val="center"/>
        <w:rPr>
          <w:rFonts w:ascii="Arial" w:hAnsi="Arial" w:cs="Arial"/>
          <w:b/>
          <w:bCs/>
        </w:rPr>
      </w:pPr>
    </w:p>
    <w:p w14:paraId="22922543" w14:textId="160EED77" w:rsidR="00A447E4" w:rsidRPr="00C97186" w:rsidRDefault="00A447E4" w:rsidP="00176B6B">
      <w:pPr>
        <w:spacing w:line="276" w:lineRule="auto"/>
        <w:jc w:val="center"/>
        <w:rPr>
          <w:rFonts w:ascii="Arial" w:hAnsi="Arial" w:cs="Arial"/>
          <w:b/>
          <w:bCs/>
        </w:rPr>
      </w:pPr>
    </w:p>
    <w:p w14:paraId="5BAC4418" w14:textId="5DA8CC05" w:rsidR="00A447E4" w:rsidRPr="00C97186" w:rsidRDefault="00A447E4" w:rsidP="00176B6B">
      <w:pPr>
        <w:spacing w:line="276" w:lineRule="auto"/>
        <w:jc w:val="center"/>
        <w:rPr>
          <w:rFonts w:ascii="Arial" w:hAnsi="Arial" w:cs="Arial"/>
          <w:b/>
          <w:bCs/>
        </w:rPr>
      </w:pPr>
    </w:p>
    <w:p w14:paraId="7ABD34DE" w14:textId="292509FB" w:rsidR="00A447E4" w:rsidRPr="00C97186" w:rsidRDefault="00A447E4" w:rsidP="00176B6B">
      <w:pPr>
        <w:spacing w:line="276" w:lineRule="auto"/>
        <w:jc w:val="center"/>
        <w:rPr>
          <w:rFonts w:ascii="Arial" w:hAnsi="Arial" w:cs="Arial"/>
          <w:b/>
          <w:bCs/>
        </w:rPr>
      </w:pPr>
    </w:p>
    <w:p w14:paraId="47A214EB" w14:textId="72254BD4" w:rsidR="00A447E4" w:rsidRPr="00C97186" w:rsidRDefault="00A447E4" w:rsidP="00176B6B">
      <w:pPr>
        <w:spacing w:line="276" w:lineRule="auto"/>
        <w:jc w:val="center"/>
        <w:rPr>
          <w:rFonts w:ascii="Arial" w:hAnsi="Arial" w:cs="Arial"/>
          <w:b/>
          <w:bCs/>
        </w:rPr>
      </w:pPr>
    </w:p>
    <w:sdt>
      <w:sdtPr>
        <w:rPr>
          <w:rFonts w:asciiTheme="minorHAnsi" w:eastAsiaTheme="minorHAnsi" w:hAnsiTheme="minorHAnsi" w:cstheme="minorBidi"/>
          <w:color w:val="auto"/>
          <w:sz w:val="22"/>
          <w:szCs w:val="22"/>
          <w:lang w:val="en-GB"/>
        </w:rPr>
        <w:id w:val="-110354515"/>
        <w:docPartObj>
          <w:docPartGallery w:val="Table of Contents"/>
          <w:docPartUnique/>
        </w:docPartObj>
      </w:sdtPr>
      <w:sdtEndPr>
        <w:rPr>
          <w:b/>
          <w:bCs/>
          <w:noProof/>
        </w:rPr>
      </w:sdtEndPr>
      <w:sdtContent>
        <w:p w14:paraId="2AD5A0E9" w14:textId="6C0C8AE5" w:rsidR="00D600F0" w:rsidRDefault="00444934">
          <w:pPr>
            <w:pStyle w:val="TOCHeading"/>
            <w:rPr>
              <w:rFonts w:ascii="Arial" w:hAnsi="Arial" w:cs="Arial"/>
              <w:b/>
              <w:bCs/>
              <w:color w:val="auto"/>
              <w:sz w:val="28"/>
              <w:szCs w:val="28"/>
            </w:rPr>
          </w:pPr>
          <w:r w:rsidRPr="00444934">
            <w:rPr>
              <w:rFonts w:ascii="Arial" w:hAnsi="Arial" w:cs="Arial"/>
              <w:b/>
              <w:bCs/>
              <w:color w:val="auto"/>
              <w:sz w:val="28"/>
              <w:szCs w:val="28"/>
            </w:rPr>
            <w:t>Contents</w:t>
          </w:r>
        </w:p>
        <w:p w14:paraId="38395187" w14:textId="77777777" w:rsidR="0084628C" w:rsidRPr="0084628C" w:rsidRDefault="0084628C" w:rsidP="0084628C">
          <w:pPr>
            <w:rPr>
              <w:lang w:val="en-US"/>
            </w:rPr>
          </w:pPr>
        </w:p>
        <w:p w14:paraId="0F534482" w14:textId="2A9EECF3" w:rsidR="00F27668" w:rsidRDefault="00D600F0">
          <w:pPr>
            <w:pStyle w:val="TOC1"/>
            <w:rPr>
              <w:rFonts w:eastAsiaTheme="minorEastAsia" w:cstheme="minorBidi"/>
              <w:bCs w:val="0"/>
              <w:lang w:eastAsia="en-GB"/>
            </w:rPr>
          </w:pPr>
          <w:r w:rsidRPr="00C0393D">
            <w:rPr>
              <w:noProof w:val="0"/>
            </w:rPr>
            <w:fldChar w:fldCharType="begin"/>
          </w:r>
          <w:r w:rsidRPr="00C0393D">
            <w:instrText xml:space="preserve"> TOC \o "1-3" \h \z \u </w:instrText>
          </w:r>
          <w:r w:rsidRPr="00C0393D">
            <w:rPr>
              <w:noProof w:val="0"/>
            </w:rPr>
            <w:fldChar w:fldCharType="separate"/>
          </w:r>
          <w:hyperlink w:anchor="_Toc120105772" w:history="1">
            <w:r w:rsidR="00F27668" w:rsidRPr="000100EC">
              <w:rPr>
                <w:rStyle w:val="Hyperlink"/>
              </w:rPr>
              <w:t>1. Purpose and use</w:t>
            </w:r>
            <w:r w:rsidR="00F27668">
              <w:rPr>
                <w:webHidden/>
              </w:rPr>
              <w:tab/>
            </w:r>
            <w:r w:rsidR="00DA0B0D">
              <w:rPr>
                <w:webHidden/>
              </w:rPr>
              <w:t>4</w:t>
            </w:r>
          </w:hyperlink>
        </w:p>
        <w:p w14:paraId="0877F8E3" w14:textId="2B76EC0C" w:rsidR="00F27668" w:rsidRDefault="00F27668">
          <w:pPr>
            <w:pStyle w:val="TOC1"/>
            <w:rPr>
              <w:rFonts w:eastAsiaTheme="minorEastAsia" w:cstheme="minorBidi"/>
              <w:bCs w:val="0"/>
              <w:lang w:eastAsia="en-GB"/>
            </w:rPr>
          </w:pPr>
          <w:hyperlink w:anchor="_Toc120105773" w:history="1">
            <w:r w:rsidRPr="000100EC">
              <w:rPr>
                <w:rStyle w:val="Hyperlink"/>
              </w:rPr>
              <w:t xml:space="preserve">2. Requirements for </w:t>
            </w:r>
            <w:r w:rsidR="009C0E87">
              <w:rPr>
                <w:rStyle w:val="Hyperlink"/>
              </w:rPr>
              <w:t>the Dipl</w:t>
            </w:r>
            <w:r w:rsidR="00AE6623">
              <w:rPr>
                <w:rStyle w:val="Hyperlink"/>
              </w:rPr>
              <w:t>oma</w:t>
            </w:r>
            <w:r w:rsidR="009C0E87">
              <w:rPr>
                <w:rStyle w:val="Hyperlink"/>
              </w:rPr>
              <w:t xml:space="preserve"> in </w:t>
            </w:r>
            <w:r w:rsidRPr="000100EC">
              <w:rPr>
                <w:rStyle w:val="Hyperlink"/>
              </w:rPr>
              <w:t xml:space="preserve">Engineering at SCQF level </w:t>
            </w:r>
            <w:r w:rsidR="007B5F36">
              <w:rPr>
                <w:rStyle w:val="Hyperlink"/>
              </w:rPr>
              <w:t>7</w:t>
            </w:r>
            <w:r>
              <w:rPr>
                <w:webHidden/>
              </w:rPr>
              <w:tab/>
            </w:r>
            <w:r w:rsidR="00DA0B0D">
              <w:rPr>
                <w:webHidden/>
              </w:rPr>
              <w:t>4</w:t>
            </w:r>
          </w:hyperlink>
        </w:p>
        <w:p w14:paraId="7D93BEC7" w14:textId="1836A349" w:rsidR="00F27668" w:rsidRDefault="00F27668">
          <w:pPr>
            <w:pStyle w:val="TOC2"/>
            <w:tabs>
              <w:tab w:val="right" w:leader="dot" w:pos="9016"/>
            </w:tabs>
            <w:rPr>
              <w:rFonts w:eastAsiaTheme="minorEastAsia"/>
              <w:noProof/>
              <w:lang w:eastAsia="en-GB"/>
            </w:rPr>
          </w:pPr>
          <w:hyperlink w:anchor="_Toc120105774" w:history="1">
            <w:r w:rsidRPr="000100EC">
              <w:rPr>
                <w:rStyle w:val="Hyperlink"/>
                <w:noProof/>
              </w:rPr>
              <w:t>2.1 Quality assurance requirements</w:t>
            </w:r>
            <w:r>
              <w:rPr>
                <w:noProof/>
                <w:webHidden/>
              </w:rPr>
              <w:tab/>
            </w:r>
            <w:r w:rsidR="00DA0B0D">
              <w:rPr>
                <w:noProof/>
                <w:webHidden/>
              </w:rPr>
              <w:t>4</w:t>
            </w:r>
          </w:hyperlink>
        </w:p>
        <w:p w14:paraId="280ADFD7" w14:textId="6DA23E80" w:rsidR="00F27668" w:rsidRDefault="00F27668">
          <w:pPr>
            <w:pStyle w:val="TOC2"/>
            <w:tabs>
              <w:tab w:val="right" w:leader="dot" w:pos="9016"/>
            </w:tabs>
            <w:rPr>
              <w:rFonts w:eastAsiaTheme="minorEastAsia"/>
              <w:noProof/>
              <w:lang w:eastAsia="en-GB"/>
            </w:rPr>
          </w:pPr>
          <w:hyperlink w:anchor="_Toc120105775" w:history="1">
            <w:r w:rsidRPr="000100EC">
              <w:rPr>
                <w:rStyle w:val="Hyperlink"/>
                <w:noProof/>
              </w:rPr>
              <w:t>Workplace Assessment</w:t>
            </w:r>
            <w:r>
              <w:rPr>
                <w:noProof/>
                <w:webHidden/>
              </w:rPr>
              <w:tab/>
            </w:r>
            <w:r w:rsidR="00DA0B0D">
              <w:rPr>
                <w:noProof/>
                <w:webHidden/>
              </w:rPr>
              <w:t>4</w:t>
            </w:r>
          </w:hyperlink>
        </w:p>
        <w:p w14:paraId="443A0536" w14:textId="5A372D41" w:rsidR="00F27668" w:rsidRDefault="00F27668">
          <w:pPr>
            <w:pStyle w:val="TOC2"/>
            <w:tabs>
              <w:tab w:val="right" w:leader="dot" w:pos="9016"/>
            </w:tabs>
            <w:rPr>
              <w:rFonts w:eastAsiaTheme="minorEastAsia"/>
              <w:noProof/>
              <w:lang w:eastAsia="en-GB"/>
            </w:rPr>
          </w:pPr>
          <w:hyperlink w:anchor="_Toc120105776" w:history="1">
            <w:r w:rsidRPr="000100EC">
              <w:rPr>
                <w:rStyle w:val="Hyperlink"/>
                <w:noProof/>
                <w:lang w:val="en-US"/>
              </w:rPr>
              <w:t>Holistic Assessment</w:t>
            </w:r>
            <w:r>
              <w:rPr>
                <w:noProof/>
                <w:webHidden/>
              </w:rPr>
              <w:tab/>
            </w:r>
            <w:r w:rsidR="00DA0B0D">
              <w:rPr>
                <w:noProof/>
                <w:webHidden/>
              </w:rPr>
              <w:t>5</w:t>
            </w:r>
          </w:hyperlink>
        </w:p>
        <w:p w14:paraId="2DB0CBD8" w14:textId="09EF94FA" w:rsidR="00F27668" w:rsidRDefault="00F27668">
          <w:pPr>
            <w:pStyle w:val="TOC2"/>
            <w:tabs>
              <w:tab w:val="right" w:leader="dot" w:pos="9016"/>
            </w:tabs>
            <w:rPr>
              <w:rFonts w:eastAsiaTheme="minorEastAsia"/>
              <w:noProof/>
              <w:lang w:eastAsia="en-GB"/>
            </w:rPr>
          </w:pPr>
          <w:hyperlink w:anchor="_Toc120105778" w:history="1">
            <w:r w:rsidRPr="000100EC">
              <w:rPr>
                <w:rStyle w:val="Hyperlink"/>
                <w:noProof/>
              </w:rPr>
              <w:t>Simulation in a Realistic Working Environment</w:t>
            </w:r>
            <w:r>
              <w:rPr>
                <w:noProof/>
                <w:webHidden/>
              </w:rPr>
              <w:tab/>
            </w:r>
            <w:r w:rsidR="00DA0B0D">
              <w:rPr>
                <w:noProof/>
                <w:webHidden/>
              </w:rPr>
              <w:t>5</w:t>
            </w:r>
          </w:hyperlink>
        </w:p>
        <w:p w14:paraId="7288E9BF" w14:textId="093CFC27" w:rsidR="00F27668" w:rsidRDefault="008C0169">
          <w:pPr>
            <w:pStyle w:val="TOC1"/>
            <w:rPr>
              <w:rFonts w:eastAsiaTheme="minorEastAsia" w:cstheme="minorBidi"/>
              <w:bCs w:val="0"/>
              <w:lang w:eastAsia="en-GB"/>
            </w:rPr>
          </w:pPr>
          <w:r w:rsidRPr="008C0169">
            <w:rPr>
              <w:rStyle w:val="Hyperlink"/>
              <w:color w:val="FFFFFF" w:themeColor="background1"/>
            </w:rPr>
            <w:t xml:space="preserve">    </w:t>
          </w:r>
          <w:hyperlink w:anchor="_Toc120105779" w:history="1">
            <w:r w:rsidR="00F27668" w:rsidRPr="000100EC">
              <w:rPr>
                <w:rStyle w:val="Hyperlink"/>
              </w:rPr>
              <w:t>Additional assessment guidance for specific units</w:t>
            </w:r>
            <w:r w:rsidR="00F27668">
              <w:rPr>
                <w:webHidden/>
              </w:rPr>
              <w:tab/>
            </w:r>
            <w:r w:rsidR="00DA0B0D">
              <w:rPr>
                <w:webHidden/>
              </w:rPr>
              <w:t>6</w:t>
            </w:r>
          </w:hyperlink>
        </w:p>
        <w:p w14:paraId="097C2649" w14:textId="7EDBEACE" w:rsidR="00F27668" w:rsidRDefault="00F27668">
          <w:pPr>
            <w:pStyle w:val="TOC2"/>
            <w:tabs>
              <w:tab w:val="right" w:leader="dot" w:pos="9016"/>
            </w:tabs>
            <w:rPr>
              <w:noProof/>
            </w:rPr>
          </w:pPr>
          <w:hyperlink w:anchor="_Toc120105780" w:history="1">
            <w:r w:rsidRPr="000100EC">
              <w:rPr>
                <w:rStyle w:val="Hyperlink"/>
                <w:noProof/>
              </w:rPr>
              <w:t>Unit - Performing core engineering activities</w:t>
            </w:r>
            <w:r>
              <w:rPr>
                <w:noProof/>
                <w:webHidden/>
              </w:rPr>
              <w:tab/>
            </w:r>
            <w:r w:rsidR="00DA0B0D">
              <w:rPr>
                <w:noProof/>
                <w:webHidden/>
              </w:rPr>
              <w:t>6</w:t>
            </w:r>
          </w:hyperlink>
        </w:p>
        <w:p w14:paraId="277BBA88" w14:textId="5703DD3B" w:rsidR="006E193F" w:rsidRPr="006E193F" w:rsidRDefault="006E193F" w:rsidP="006E193F">
          <w:pPr>
            <w:ind w:firstLine="220"/>
            <w:rPr>
              <w:noProof/>
            </w:rPr>
          </w:pPr>
          <w:r>
            <w:rPr>
              <w:noProof/>
            </w:rPr>
            <w:t>Uni</w:t>
          </w:r>
          <w:r w:rsidRPr="006E193F">
            <w:rPr>
              <w:noProof/>
            </w:rPr>
            <w:t>t - Understanding the importance of environmental good practice and sustainability…………</w:t>
          </w:r>
          <w:r>
            <w:rPr>
              <w:noProof/>
            </w:rPr>
            <w:t>……</w:t>
          </w:r>
          <w:r w:rsidRPr="006E193F">
            <w:rPr>
              <w:noProof/>
            </w:rPr>
            <w:t xml:space="preserve">6            </w:t>
          </w:r>
        </w:p>
        <w:p w14:paraId="7AD56AF3" w14:textId="08E6F56C" w:rsidR="00F27668" w:rsidRPr="006E193F" w:rsidRDefault="00F27668">
          <w:pPr>
            <w:pStyle w:val="TOC2"/>
            <w:tabs>
              <w:tab w:val="right" w:leader="dot" w:pos="9016"/>
            </w:tabs>
            <w:rPr>
              <w:rStyle w:val="Hyperlink"/>
              <w:noProof/>
            </w:rPr>
          </w:pPr>
          <w:hyperlink w:anchor="_Toc120105781" w:history="1">
            <w:r w:rsidRPr="006E193F">
              <w:rPr>
                <w:rStyle w:val="Hyperlink"/>
                <w:noProof/>
                <w:lang w:val="en-US"/>
              </w:rPr>
              <w:t xml:space="preserve">Unit - Applying </w:t>
            </w:r>
            <w:r w:rsidRPr="006E193F">
              <w:rPr>
                <w:rStyle w:val="Hyperlink"/>
                <w:noProof/>
              </w:rPr>
              <w:t>methods and principles in project management</w:t>
            </w:r>
            <w:r w:rsidRPr="006E193F">
              <w:rPr>
                <w:noProof/>
                <w:webHidden/>
              </w:rPr>
              <w:tab/>
            </w:r>
            <w:r w:rsidR="00DA0B0D">
              <w:rPr>
                <w:noProof/>
                <w:webHidden/>
              </w:rPr>
              <w:t>6</w:t>
            </w:r>
          </w:hyperlink>
        </w:p>
        <w:p w14:paraId="2F88299F" w14:textId="08D135A6" w:rsidR="00F27668" w:rsidRPr="006E193F" w:rsidRDefault="00F27668" w:rsidP="00F27668">
          <w:pPr>
            <w:rPr>
              <w:noProof/>
            </w:rPr>
          </w:pPr>
          <w:r w:rsidRPr="006E193F">
            <w:rPr>
              <w:noProof/>
            </w:rPr>
            <w:t xml:space="preserve">    Unit - Providing effective Leadership……………………………………………………………………………………………..</w:t>
          </w:r>
          <w:r w:rsidR="00DA0B0D">
            <w:rPr>
              <w:noProof/>
            </w:rPr>
            <w:t>6</w:t>
          </w:r>
        </w:p>
        <w:p w14:paraId="6874E177" w14:textId="75324368" w:rsidR="00F27668" w:rsidRPr="006E193F" w:rsidRDefault="00F27668">
          <w:pPr>
            <w:pStyle w:val="TOC2"/>
            <w:tabs>
              <w:tab w:val="right" w:leader="dot" w:pos="9016"/>
            </w:tabs>
            <w:rPr>
              <w:rFonts w:eastAsiaTheme="minorEastAsia"/>
              <w:noProof/>
              <w:lang w:eastAsia="en-GB"/>
            </w:rPr>
          </w:pPr>
          <w:hyperlink w:anchor="_Toc120105782" w:history="1">
            <w:r w:rsidRPr="006E193F">
              <w:rPr>
                <w:rStyle w:val="Hyperlink"/>
                <w:noProof/>
              </w:rPr>
              <w:t xml:space="preserve">2.2 Occupational expertise and qualification requirements for those assessing or undertaking </w:t>
            </w:r>
            <w:r w:rsidR="0020743D">
              <w:rPr>
                <w:rStyle w:val="Hyperlink"/>
                <w:noProof/>
              </w:rPr>
              <w:t xml:space="preserve">     </w:t>
            </w:r>
            <w:r w:rsidRPr="006E193F">
              <w:rPr>
                <w:rStyle w:val="Hyperlink"/>
                <w:noProof/>
              </w:rPr>
              <w:t>quality assurance of assessment</w:t>
            </w:r>
            <w:r w:rsidR="0020743D">
              <w:rPr>
                <w:rStyle w:val="Hyperlink"/>
                <w:noProof/>
              </w:rPr>
              <w:t xml:space="preserve"> </w:t>
            </w:r>
            <w:r w:rsidRPr="006E193F">
              <w:rPr>
                <w:noProof/>
                <w:webHidden/>
              </w:rPr>
              <w:tab/>
            </w:r>
            <w:r w:rsidR="00DA0B0D">
              <w:rPr>
                <w:noProof/>
                <w:webHidden/>
              </w:rPr>
              <w:t>6</w:t>
            </w:r>
          </w:hyperlink>
        </w:p>
        <w:p w14:paraId="66FA6F5D" w14:textId="4CBD929B" w:rsidR="00F27668" w:rsidRPr="006E193F" w:rsidRDefault="00F27668" w:rsidP="00F27668">
          <w:pPr>
            <w:pStyle w:val="TOC2"/>
            <w:tabs>
              <w:tab w:val="right" w:leader="dot" w:pos="9016"/>
            </w:tabs>
            <w:ind w:left="0"/>
            <w:rPr>
              <w:rFonts w:eastAsiaTheme="minorEastAsia"/>
              <w:noProof/>
              <w:lang w:eastAsia="en-GB"/>
            </w:rPr>
          </w:pPr>
          <w:hyperlink w:anchor="_Toc120105783" w:history="1">
            <w:r w:rsidRPr="006E193F">
              <w:rPr>
                <w:rStyle w:val="Hyperlink"/>
                <w:noProof/>
              </w:rPr>
              <w:t>3. Guidance on meta-skills</w:t>
            </w:r>
            <w:r w:rsidRPr="006E193F">
              <w:rPr>
                <w:noProof/>
                <w:webHidden/>
              </w:rPr>
              <w:tab/>
            </w:r>
            <w:r w:rsidR="00DA0B0D">
              <w:rPr>
                <w:noProof/>
                <w:webHidden/>
              </w:rPr>
              <w:t>7</w:t>
            </w:r>
          </w:hyperlink>
        </w:p>
        <w:p w14:paraId="608AE41B" w14:textId="55A88CC1" w:rsidR="00D600F0" w:rsidRDefault="00D600F0">
          <w:r w:rsidRPr="00C0393D">
            <w:rPr>
              <w:rFonts w:ascii="Arial" w:hAnsi="Arial" w:cs="Arial"/>
              <w:b/>
              <w:bCs/>
              <w:noProof/>
            </w:rPr>
            <w:fldChar w:fldCharType="end"/>
          </w:r>
        </w:p>
      </w:sdtContent>
    </w:sdt>
    <w:p w14:paraId="10063A93" w14:textId="1327AF98" w:rsidR="006A03D4" w:rsidRPr="006A03D4" w:rsidRDefault="006A03D4" w:rsidP="006A03D4">
      <w:pPr>
        <w:tabs>
          <w:tab w:val="left" w:pos="2612"/>
        </w:tabs>
        <w:spacing w:line="276" w:lineRule="auto"/>
        <w:rPr>
          <w:rFonts w:ascii="Arial" w:hAnsi="Arial" w:cs="Arial"/>
          <w:b/>
          <w:bCs/>
        </w:rPr>
      </w:pPr>
      <w:r>
        <w:rPr>
          <w:bCs/>
        </w:rPr>
        <w:br w:type="page"/>
      </w:r>
    </w:p>
    <w:p w14:paraId="215CD576" w14:textId="12C9662C" w:rsidR="00875201" w:rsidRDefault="001A68E1" w:rsidP="00842E2B">
      <w:pPr>
        <w:pStyle w:val="Heading1"/>
        <w:spacing w:after="120"/>
        <w:jc w:val="both"/>
      </w:pPr>
      <w:bookmarkStart w:id="0" w:name="_Toc120105772"/>
      <w:r w:rsidRPr="001A68E1">
        <w:rPr>
          <w:bCs/>
        </w:rPr>
        <w:lastRenderedPageBreak/>
        <w:t>1.</w:t>
      </w:r>
      <w:r>
        <w:t xml:space="preserve"> </w:t>
      </w:r>
      <w:r w:rsidR="003C24F0">
        <w:t>Purpose and use</w:t>
      </w:r>
      <w:bookmarkEnd w:id="0"/>
      <w:r w:rsidR="00157CCE">
        <w:t xml:space="preserve"> </w:t>
      </w:r>
    </w:p>
    <w:p w14:paraId="4D5B065D" w14:textId="036E4345" w:rsidR="00F10073" w:rsidRPr="007F608A" w:rsidRDefault="00C041D7" w:rsidP="00842E2B">
      <w:pPr>
        <w:spacing w:line="276" w:lineRule="auto"/>
        <w:jc w:val="both"/>
        <w:rPr>
          <w:rFonts w:ascii="Arial" w:hAnsi="Arial" w:cs="Arial"/>
          <w:b/>
          <w:bCs/>
        </w:rPr>
      </w:pPr>
      <w:r w:rsidRPr="0084628C">
        <w:rPr>
          <w:rFonts w:ascii="Arial" w:hAnsi="Arial" w:cs="Arial"/>
        </w:rPr>
        <w:t>Th</w:t>
      </w:r>
      <w:r w:rsidR="00EE69CE" w:rsidRPr="0084628C">
        <w:rPr>
          <w:rFonts w:ascii="Arial" w:hAnsi="Arial" w:cs="Arial"/>
        </w:rPr>
        <w:t>is</w:t>
      </w:r>
      <w:r w:rsidRPr="0084628C">
        <w:rPr>
          <w:rFonts w:ascii="Arial" w:hAnsi="Arial" w:cs="Arial"/>
        </w:rPr>
        <w:t xml:space="preserve"> </w:t>
      </w:r>
      <w:bookmarkStart w:id="1" w:name="_Hlk82095856"/>
      <w:r w:rsidR="005628DC">
        <w:rPr>
          <w:rFonts w:ascii="Arial" w:hAnsi="Arial" w:cs="Arial"/>
        </w:rPr>
        <w:t>s</w:t>
      </w:r>
      <w:r w:rsidR="007F608A" w:rsidRPr="0084628C">
        <w:rPr>
          <w:rFonts w:ascii="Arial" w:hAnsi="Arial" w:cs="Arial"/>
        </w:rPr>
        <w:t xml:space="preserve">pecific Assessment Strategy Appendix for the </w:t>
      </w:r>
      <w:r w:rsidR="000C6B35" w:rsidRPr="0084628C">
        <w:rPr>
          <w:rFonts w:ascii="Arial" w:hAnsi="Arial" w:cs="Arial"/>
        </w:rPr>
        <w:t>Diploma in</w:t>
      </w:r>
      <w:r w:rsidR="007F608A" w:rsidRPr="0084628C">
        <w:rPr>
          <w:rFonts w:ascii="Arial" w:hAnsi="Arial" w:cs="Arial"/>
        </w:rPr>
        <w:t xml:space="preserve"> Engineering at SCQF </w:t>
      </w:r>
      <w:r w:rsidR="0084628C" w:rsidRPr="0084628C">
        <w:rPr>
          <w:rFonts w:ascii="Arial" w:hAnsi="Arial" w:cs="Arial"/>
        </w:rPr>
        <w:t>L</w:t>
      </w:r>
      <w:r w:rsidR="007F608A" w:rsidRPr="0084628C">
        <w:rPr>
          <w:rFonts w:ascii="Arial" w:hAnsi="Arial" w:cs="Arial"/>
        </w:rPr>
        <w:t xml:space="preserve">evel </w:t>
      </w:r>
      <w:bookmarkEnd w:id="1"/>
      <w:r w:rsidR="000C6B35" w:rsidRPr="0084628C">
        <w:rPr>
          <w:rFonts w:ascii="Arial" w:hAnsi="Arial" w:cs="Arial"/>
        </w:rPr>
        <w:t>7</w:t>
      </w:r>
      <w:r w:rsidR="007F608A">
        <w:rPr>
          <w:rFonts w:ascii="Arial" w:hAnsi="Arial" w:cs="Arial"/>
          <w:b/>
          <w:bCs/>
        </w:rPr>
        <w:t xml:space="preserve"> </w:t>
      </w:r>
      <w:r w:rsidRPr="00F10073">
        <w:rPr>
          <w:rFonts w:ascii="Arial" w:hAnsi="Arial" w:cs="Arial"/>
        </w:rPr>
        <w:t>set</w:t>
      </w:r>
      <w:r>
        <w:rPr>
          <w:rFonts w:ascii="Arial" w:hAnsi="Arial" w:cs="Arial"/>
        </w:rPr>
        <w:t>s</w:t>
      </w:r>
      <w:r w:rsidRPr="00F10073">
        <w:rPr>
          <w:rFonts w:ascii="Arial" w:hAnsi="Arial" w:cs="Arial"/>
        </w:rPr>
        <w:t xml:space="preserve"> out the assessment and </w:t>
      </w:r>
      <w:r w:rsidR="00913103">
        <w:rPr>
          <w:rFonts w:ascii="Arial" w:hAnsi="Arial" w:cs="Arial"/>
        </w:rPr>
        <w:t>quality assurance</w:t>
      </w:r>
      <w:r w:rsidRPr="00F10073">
        <w:rPr>
          <w:rFonts w:ascii="Arial" w:hAnsi="Arial" w:cs="Arial"/>
        </w:rPr>
        <w:t xml:space="preserve"> requirements </w:t>
      </w:r>
      <w:r>
        <w:rPr>
          <w:rFonts w:ascii="Arial" w:hAnsi="Arial" w:cs="Arial"/>
        </w:rPr>
        <w:t xml:space="preserve">that </w:t>
      </w:r>
      <w:r w:rsidRPr="00645DD9">
        <w:rPr>
          <w:rFonts w:ascii="Arial" w:hAnsi="Arial" w:cs="Arial"/>
        </w:rPr>
        <w:t xml:space="preserve">are specific to </w:t>
      </w:r>
      <w:r w:rsidR="000500FE">
        <w:rPr>
          <w:rFonts w:ascii="Arial" w:hAnsi="Arial" w:cs="Arial"/>
        </w:rPr>
        <w:t xml:space="preserve">this </w:t>
      </w:r>
      <w:r w:rsidR="00157CCE">
        <w:rPr>
          <w:rFonts w:ascii="Arial" w:hAnsi="Arial" w:cs="Arial"/>
        </w:rPr>
        <w:t>qualification.</w:t>
      </w:r>
      <w:r w:rsidR="00157CCE" w:rsidRPr="00645DD9">
        <w:rPr>
          <w:rFonts w:ascii="Arial" w:hAnsi="Arial" w:cs="Arial"/>
        </w:rPr>
        <w:t xml:space="preserve"> This</w:t>
      </w:r>
      <w:r w:rsidRPr="00645DD9">
        <w:rPr>
          <w:rFonts w:ascii="Arial" w:hAnsi="Arial" w:cs="Arial"/>
        </w:rPr>
        <w:t xml:space="preserve"> assessment strategy appendix must be used alongside the </w:t>
      </w:r>
      <w:r w:rsidR="006C40D0" w:rsidRPr="000C6B35">
        <w:rPr>
          <w:rFonts w:ascii="Arial" w:hAnsi="Arial" w:cs="Arial"/>
        </w:rPr>
        <w:t>O</w:t>
      </w:r>
      <w:r w:rsidRPr="000C6B35">
        <w:rPr>
          <w:rFonts w:ascii="Arial" w:hAnsi="Arial" w:cs="Arial"/>
        </w:rPr>
        <w:t xml:space="preserve">verarching </w:t>
      </w:r>
      <w:r w:rsidR="000C6B35" w:rsidRPr="000C6B35">
        <w:rPr>
          <w:rFonts w:ascii="Arial" w:hAnsi="Arial" w:cs="Arial"/>
        </w:rPr>
        <w:t xml:space="preserve">Assessment </w:t>
      </w:r>
      <w:r w:rsidRPr="000C6B35">
        <w:rPr>
          <w:rFonts w:ascii="Arial" w:hAnsi="Arial" w:cs="Arial"/>
        </w:rPr>
        <w:t xml:space="preserve">Strategy for </w:t>
      </w:r>
      <w:r w:rsidR="006C40D0" w:rsidRPr="000C6B35">
        <w:rPr>
          <w:rFonts w:ascii="Arial" w:hAnsi="Arial" w:cs="Arial"/>
        </w:rPr>
        <w:t>c</w:t>
      </w:r>
      <w:r w:rsidRPr="000C6B35">
        <w:rPr>
          <w:rFonts w:ascii="Arial" w:hAnsi="Arial" w:cs="Arial"/>
        </w:rPr>
        <w:t xml:space="preserve">ompetence-based </w:t>
      </w:r>
      <w:r w:rsidR="006C40D0" w:rsidRPr="000C6B35">
        <w:rPr>
          <w:rFonts w:ascii="Arial" w:hAnsi="Arial" w:cs="Arial"/>
        </w:rPr>
        <w:t>q</w:t>
      </w:r>
      <w:r w:rsidRPr="000C6B35">
        <w:rPr>
          <w:rFonts w:ascii="Arial" w:hAnsi="Arial" w:cs="Arial"/>
        </w:rPr>
        <w:t>ualifications</w:t>
      </w:r>
      <w:r w:rsidR="000C6B35">
        <w:rPr>
          <w:rFonts w:ascii="Arial" w:hAnsi="Arial" w:cs="Arial"/>
        </w:rPr>
        <w:t>.</w:t>
      </w:r>
      <w:r w:rsidRPr="00645DD9">
        <w:rPr>
          <w:rFonts w:ascii="Arial" w:hAnsi="Arial" w:cs="Arial"/>
        </w:rPr>
        <w:t xml:space="preserve"> </w:t>
      </w:r>
    </w:p>
    <w:p w14:paraId="43CEEE3B" w14:textId="73DDBEAA" w:rsidR="00F10073" w:rsidRPr="00F10073" w:rsidRDefault="00F10073" w:rsidP="00842E2B">
      <w:pPr>
        <w:spacing w:line="276" w:lineRule="auto"/>
        <w:jc w:val="both"/>
        <w:rPr>
          <w:rFonts w:ascii="Arial" w:hAnsi="Arial" w:cs="Arial"/>
        </w:rPr>
      </w:pPr>
      <w:r w:rsidRPr="00F10073">
        <w:rPr>
          <w:rFonts w:ascii="Arial" w:hAnsi="Arial" w:cs="Arial"/>
        </w:rPr>
        <w:t xml:space="preserve">This assessment strategy has been agreed with relevant awarding bodies and other stakeholders as part of the qualification design process. </w:t>
      </w:r>
    </w:p>
    <w:p w14:paraId="7AE1FE10" w14:textId="4480B9B4" w:rsidR="005D0D8E" w:rsidRDefault="007F608A" w:rsidP="00842E2B">
      <w:pPr>
        <w:spacing w:line="276" w:lineRule="auto"/>
        <w:jc w:val="both"/>
        <w:rPr>
          <w:rFonts w:ascii="Arial" w:hAnsi="Arial" w:cs="Arial"/>
        </w:rPr>
      </w:pPr>
      <w:r w:rsidRPr="000F2FEF">
        <w:rPr>
          <w:rFonts w:ascii="Arial" w:hAnsi="Arial" w:cs="Arial"/>
        </w:rPr>
        <w:t>Th</w:t>
      </w:r>
      <w:r>
        <w:rPr>
          <w:rFonts w:ascii="Arial" w:hAnsi="Arial" w:cs="Arial"/>
        </w:rPr>
        <w:t xml:space="preserve">e </w:t>
      </w:r>
      <w:r w:rsidR="000C6B35">
        <w:rPr>
          <w:rFonts w:ascii="Arial" w:hAnsi="Arial" w:cs="Arial"/>
        </w:rPr>
        <w:t>Diploma in Engineering</w:t>
      </w:r>
      <w:r>
        <w:rPr>
          <w:rFonts w:ascii="Arial" w:hAnsi="Arial" w:cs="Arial"/>
        </w:rPr>
        <w:t xml:space="preserve"> at SCQF </w:t>
      </w:r>
      <w:r w:rsidR="00604378">
        <w:rPr>
          <w:rFonts w:ascii="Arial" w:hAnsi="Arial" w:cs="Arial"/>
        </w:rPr>
        <w:t>L</w:t>
      </w:r>
      <w:r>
        <w:rPr>
          <w:rFonts w:ascii="Arial" w:hAnsi="Arial" w:cs="Arial"/>
        </w:rPr>
        <w:t>evel</w:t>
      </w:r>
      <w:r w:rsidR="00157CCE">
        <w:rPr>
          <w:rFonts w:ascii="Arial" w:hAnsi="Arial" w:cs="Arial"/>
        </w:rPr>
        <w:t xml:space="preserve"> </w:t>
      </w:r>
      <w:r w:rsidR="007B5F36">
        <w:rPr>
          <w:rFonts w:ascii="Arial" w:hAnsi="Arial" w:cs="Arial"/>
        </w:rPr>
        <w:t>7</w:t>
      </w:r>
      <w:r w:rsidR="00157CCE">
        <w:rPr>
          <w:rFonts w:ascii="Arial" w:hAnsi="Arial" w:cs="Arial"/>
        </w:rPr>
        <w:t xml:space="preserve"> </w:t>
      </w:r>
      <w:r w:rsidRPr="000F2FEF">
        <w:rPr>
          <w:rFonts w:ascii="Arial" w:hAnsi="Arial" w:cs="Arial"/>
        </w:rPr>
        <w:t>is designed to recognise</w:t>
      </w:r>
      <w:r w:rsidR="000C6B35">
        <w:rPr>
          <w:rFonts w:ascii="Arial" w:hAnsi="Arial" w:cs="Arial"/>
        </w:rPr>
        <w:t xml:space="preserve"> the</w:t>
      </w:r>
      <w:r w:rsidRPr="000F2FEF">
        <w:rPr>
          <w:rFonts w:ascii="Arial" w:hAnsi="Arial" w:cs="Arial"/>
        </w:rPr>
        <w:t xml:space="preserve"> competence </w:t>
      </w:r>
      <w:r w:rsidRPr="00157CCE">
        <w:rPr>
          <w:rFonts w:ascii="Arial" w:hAnsi="Arial" w:cs="Arial"/>
        </w:rPr>
        <w:t xml:space="preserve">of </w:t>
      </w:r>
      <w:r w:rsidR="00157CCE" w:rsidRPr="00157CCE">
        <w:rPr>
          <w:rFonts w:ascii="Arial" w:hAnsi="Arial" w:cs="Arial"/>
        </w:rPr>
        <w:t>en</w:t>
      </w:r>
      <w:r w:rsidRPr="00157CCE">
        <w:rPr>
          <w:rFonts w:ascii="Arial" w:hAnsi="Arial" w:cs="Arial"/>
        </w:rPr>
        <w:t>gineer</w:t>
      </w:r>
      <w:r w:rsidRPr="000C6B35">
        <w:rPr>
          <w:rFonts w:ascii="Arial" w:hAnsi="Arial" w:cs="Arial"/>
        </w:rPr>
        <w:t>i</w:t>
      </w:r>
      <w:r w:rsidR="00157CCE" w:rsidRPr="000C6B35">
        <w:rPr>
          <w:rFonts w:ascii="Arial" w:hAnsi="Arial" w:cs="Arial"/>
        </w:rPr>
        <w:t>ng</w:t>
      </w:r>
      <w:r w:rsidR="00FF2245">
        <w:rPr>
          <w:rFonts w:ascii="Arial" w:hAnsi="Arial" w:cs="Arial"/>
        </w:rPr>
        <w:t xml:space="preserve"> </w:t>
      </w:r>
      <w:r w:rsidR="005D0D8E">
        <w:rPr>
          <w:rFonts w:ascii="Arial" w:hAnsi="Arial" w:cs="Arial"/>
        </w:rPr>
        <w:t xml:space="preserve">operatives and </w:t>
      </w:r>
      <w:r w:rsidRPr="000F2FEF">
        <w:rPr>
          <w:rFonts w:ascii="Arial" w:hAnsi="Arial" w:cs="Arial"/>
        </w:rPr>
        <w:t>technicians</w:t>
      </w:r>
      <w:r w:rsidR="005D0D8E">
        <w:rPr>
          <w:rFonts w:ascii="Arial" w:hAnsi="Arial" w:cs="Arial"/>
        </w:rPr>
        <w:t xml:space="preserve"> across a range of engineering environments.</w:t>
      </w:r>
      <w:r w:rsidRPr="000F2FEF">
        <w:rPr>
          <w:rFonts w:ascii="Arial" w:hAnsi="Arial" w:cs="Arial"/>
        </w:rPr>
        <w:t xml:space="preserve"> </w:t>
      </w:r>
      <w:r w:rsidR="00D54F3C">
        <w:rPr>
          <w:rFonts w:ascii="Arial" w:hAnsi="Arial" w:cs="Arial"/>
        </w:rPr>
        <w:t>This</w:t>
      </w:r>
      <w:r w:rsidRPr="000F2FEF">
        <w:rPr>
          <w:rFonts w:ascii="Arial" w:hAnsi="Arial" w:cs="Arial"/>
        </w:rPr>
        <w:t xml:space="preserve"> requires the learner </w:t>
      </w:r>
      <w:r w:rsidR="00FF2245">
        <w:rPr>
          <w:rFonts w:ascii="Arial" w:hAnsi="Arial" w:cs="Arial"/>
        </w:rPr>
        <w:t>to be</w:t>
      </w:r>
      <w:r w:rsidRPr="000F2FEF">
        <w:rPr>
          <w:rFonts w:ascii="Arial" w:hAnsi="Arial" w:cs="Arial"/>
        </w:rPr>
        <w:t xml:space="preserve"> employed in a relevant engineering role</w:t>
      </w:r>
      <w:r w:rsidR="00CD49DC">
        <w:rPr>
          <w:rFonts w:ascii="Arial" w:hAnsi="Arial" w:cs="Arial"/>
        </w:rPr>
        <w:t>. W</w:t>
      </w:r>
      <w:r w:rsidRPr="000F2FEF">
        <w:rPr>
          <w:rFonts w:ascii="Arial" w:hAnsi="Arial" w:cs="Arial"/>
        </w:rPr>
        <w:t>or</w:t>
      </w:r>
      <w:r>
        <w:rPr>
          <w:rFonts w:ascii="Arial" w:hAnsi="Arial" w:cs="Arial"/>
        </w:rPr>
        <w:t>kplace</w:t>
      </w:r>
      <w:r w:rsidRPr="000F2FEF">
        <w:rPr>
          <w:rFonts w:ascii="Arial" w:hAnsi="Arial" w:cs="Arial"/>
        </w:rPr>
        <w:t xml:space="preserve"> learning</w:t>
      </w:r>
      <w:r w:rsidR="00CD49DC">
        <w:rPr>
          <w:rFonts w:ascii="Arial" w:hAnsi="Arial" w:cs="Arial"/>
        </w:rPr>
        <w:t xml:space="preserve"> should be </w:t>
      </w:r>
      <w:r w:rsidRPr="000F2FEF">
        <w:rPr>
          <w:rFonts w:ascii="Arial" w:hAnsi="Arial" w:cs="Arial"/>
        </w:rPr>
        <w:t>aligned to</w:t>
      </w:r>
      <w:r w:rsidR="00CD49DC">
        <w:rPr>
          <w:rFonts w:ascii="Arial" w:hAnsi="Arial" w:cs="Arial"/>
        </w:rPr>
        <w:t xml:space="preserve"> and </w:t>
      </w:r>
      <w:r w:rsidRPr="000F2FEF">
        <w:rPr>
          <w:rFonts w:ascii="Arial" w:hAnsi="Arial" w:cs="Arial"/>
        </w:rPr>
        <w:t>assessed against the performance</w:t>
      </w:r>
      <w:r w:rsidR="008B1154">
        <w:rPr>
          <w:rFonts w:ascii="Arial" w:hAnsi="Arial" w:cs="Arial"/>
        </w:rPr>
        <w:t xml:space="preserve">, </w:t>
      </w:r>
      <w:r w:rsidRPr="000F2FEF">
        <w:rPr>
          <w:rFonts w:ascii="Arial" w:hAnsi="Arial" w:cs="Arial"/>
          <w:bCs/>
        </w:rPr>
        <w:t>knowledge and understanding</w:t>
      </w:r>
      <w:r w:rsidRPr="000F2FEF">
        <w:rPr>
          <w:rFonts w:ascii="Arial" w:hAnsi="Arial" w:cs="Arial"/>
        </w:rPr>
        <w:t xml:space="preserve"> requirements</w:t>
      </w:r>
      <w:r w:rsidR="00CD49DC">
        <w:rPr>
          <w:rFonts w:ascii="Arial" w:hAnsi="Arial" w:cs="Arial"/>
        </w:rPr>
        <w:t xml:space="preserve"> in the</w:t>
      </w:r>
      <w:r w:rsidRPr="000F2FEF">
        <w:rPr>
          <w:rFonts w:ascii="Arial" w:hAnsi="Arial" w:cs="Arial"/>
        </w:rPr>
        <w:t xml:space="preserve"> qualification</w:t>
      </w:r>
      <w:r w:rsidR="005D0D8E">
        <w:rPr>
          <w:rFonts w:ascii="Arial" w:hAnsi="Arial" w:cs="Arial"/>
        </w:rPr>
        <w:t xml:space="preserve"> structure and pathways</w:t>
      </w:r>
      <w:r w:rsidR="00CD49DC">
        <w:rPr>
          <w:rFonts w:ascii="Arial" w:hAnsi="Arial" w:cs="Arial"/>
        </w:rPr>
        <w:t xml:space="preserve"> including the </w:t>
      </w:r>
      <w:r w:rsidR="00E83B15">
        <w:rPr>
          <w:rFonts w:ascii="Arial" w:hAnsi="Arial" w:cs="Arial"/>
        </w:rPr>
        <w:t>m</w:t>
      </w:r>
      <w:r w:rsidR="00CD49DC">
        <w:rPr>
          <w:rFonts w:ascii="Arial" w:hAnsi="Arial" w:cs="Arial"/>
        </w:rPr>
        <w:t>eta-</w:t>
      </w:r>
      <w:r w:rsidR="00E83B15">
        <w:rPr>
          <w:rFonts w:ascii="Arial" w:hAnsi="Arial" w:cs="Arial"/>
        </w:rPr>
        <w:t>s</w:t>
      </w:r>
      <w:r w:rsidR="00CD49DC">
        <w:rPr>
          <w:rFonts w:ascii="Arial" w:hAnsi="Arial" w:cs="Arial"/>
        </w:rPr>
        <w:t xml:space="preserve">kills requirements. </w:t>
      </w:r>
      <w:r w:rsidRPr="000F2FEF">
        <w:rPr>
          <w:rFonts w:ascii="Arial" w:hAnsi="Arial" w:cs="Arial"/>
        </w:rPr>
        <w:t>Work</w:t>
      </w:r>
      <w:r>
        <w:rPr>
          <w:rFonts w:ascii="Arial" w:hAnsi="Arial" w:cs="Arial"/>
        </w:rPr>
        <w:t>place</w:t>
      </w:r>
      <w:r w:rsidRPr="000F2FEF">
        <w:rPr>
          <w:rFonts w:ascii="Arial" w:hAnsi="Arial" w:cs="Arial"/>
        </w:rPr>
        <w:t xml:space="preserve"> learning is a partnership between learner, employer and learning provider and all learners must have the support of an employer in undertaking this qualification.</w:t>
      </w:r>
    </w:p>
    <w:p w14:paraId="33BBC154" w14:textId="3EB5C4AD" w:rsidR="00875201" w:rsidRPr="001A68E1" w:rsidRDefault="008A01CF" w:rsidP="00842E2B">
      <w:pPr>
        <w:pStyle w:val="Heading1"/>
        <w:spacing w:after="120"/>
        <w:jc w:val="both"/>
      </w:pPr>
      <w:bookmarkStart w:id="2" w:name="_Toc117243395"/>
      <w:bookmarkStart w:id="3" w:name="_Toc120105773"/>
      <w:r>
        <w:t>2.</w:t>
      </w:r>
      <w:r w:rsidR="001A68E1">
        <w:t xml:space="preserve"> </w:t>
      </w:r>
      <w:r w:rsidR="00875201" w:rsidRPr="001A68E1">
        <w:t>Requirements for</w:t>
      </w:r>
      <w:r w:rsidR="00157CCE">
        <w:t xml:space="preserve"> </w:t>
      </w:r>
      <w:r w:rsidR="009C0E87">
        <w:t xml:space="preserve">the Diploma in </w:t>
      </w:r>
      <w:r w:rsidR="00875201" w:rsidRPr="001A68E1">
        <w:t xml:space="preserve">Engineering </w:t>
      </w:r>
      <w:r w:rsidR="00C041D7" w:rsidRPr="001A68E1">
        <w:t xml:space="preserve">at SCQF level </w:t>
      </w:r>
      <w:bookmarkEnd w:id="2"/>
      <w:bookmarkEnd w:id="3"/>
      <w:r w:rsidR="007B5F36">
        <w:t>7</w:t>
      </w:r>
    </w:p>
    <w:p w14:paraId="41B435F4" w14:textId="24718563" w:rsidR="007A2553" w:rsidRPr="00086981" w:rsidRDefault="00C041D7" w:rsidP="00842E2B">
      <w:pPr>
        <w:pStyle w:val="Heading2"/>
        <w:spacing w:after="120"/>
        <w:jc w:val="both"/>
      </w:pPr>
      <w:bookmarkStart w:id="4" w:name="_Toc81494705"/>
      <w:bookmarkStart w:id="5" w:name="_Toc117243396"/>
      <w:bookmarkStart w:id="6" w:name="_Toc120105774"/>
      <w:r w:rsidRPr="009D2A60">
        <w:t>2.1 Quality assurance requirements</w:t>
      </w:r>
      <w:bookmarkEnd w:id="4"/>
      <w:bookmarkEnd w:id="5"/>
      <w:bookmarkEnd w:id="6"/>
    </w:p>
    <w:p w14:paraId="0230554B" w14:textId="6D604D0E" w:rsidR="007A2553" w:rsidRDefault="00CF0BF3" w:rsidP="00842E2B">
      <w:pPr>
        <w:spacing w:line="276" w:lineRule="auto"/>
        <w:jc w:val="both"/>
        <w:rPr>
          <w:rFonts w:ascii="Arial" w:hAnsi="Arial" w:cs="Arial"/>
          <w:bCs/>
        </w:rPr>
      </w:pPr>
      <w:r w:rsidRPr="00CF0BF3">
        <w:rPr>
          <w:rFonts w:ascii="Arial" w:hAnsi="Arial" w:cs="Arial"/>
          <w:bCs/>
        </w:rPr>
        <w:t xml:space="preserve">This qualification is quality assured as set out in the </w:t>
      </w:r>
      <w:r w:rsidR="006C40D0">
        <w:rPr>
          <w:rFonts w:ascii="Arial" w:hAnsi="Arial" w:cs="Arial"/>
          <w:bCs/>
        </w:rPr>
        <w:t>O</w:t>
      </w:r>
      <w:r w:rsidRPr="00CF0BF3">
        <w:rPr>
          <w:rFonts w:ascii="Arial" w:hAnsi="Arial" w:cs="Arial"/>
          <w:bCs/>
        </w:rPr>
        <w:t xml:space="preserve">verarching Assessment Strategy for </w:t>
      </w:r>
      <w:r w:rsidR="006C40D0">
        <w:rPr>
          <w:rFonts w:ascii="Arial" w:hAnsi="Arial" w:cs="Arial"/>
          <w:bCs/>
        </w:rPr>
        <w:t>c</w:t>
      </w:r>
      <w:r w:rsidRPr="00CF0BF3">
        <w:rPr>
          <w:rFonts w:ascii="Arial" w:hAnsi="Arial" w:cs="Arial"/>
          <w:bCs/>
        </w:rPr>
        <w:t xml:space="preserve">ompetence-based </w:t>
      </w:r>
      <w:r w:rsidR="006C40D0">
        <w:rPr>
          <w:rFonts w:ascii="Arial" w:hAnsi="Arial" w:cs="Arial"/>
          <w:bCs/>
        </w:rPr>
        <w:t>q</w:t>
      </w:r>
      <w:r w:rsidRPr="00CF0BF3">
        <w:rPr>
          <w:rFonts w:ascii="Arial" w:hAnsi="Arial" w:cs="Arial"/>
          <w:bCs/>
        </w:rPr>
        <w:t>ualifications section 2. There are no further requirements specific to this qualification.</w:t>
      </w:r>
    </w:p>
    <w:p w14:paraId="76E36244" w14:textId="29279DA7" w:rsidR="00157CCE" w:rsidRPr="00206EBC" w:rsidRDefault="00157CCE" w:rsidP="00157CCE">
      <w:pPr>
        <w:pStyle w:val="Heading2"/>
        <w:spacing w:after="120"/>
        <w:jc w:val="both"/>
        <w:rPr>
          <w:szCs w:val="28"/>
        </w:rPr>
      </w:pPr>
      <w:bookmarkStart w:id="7" w:name="_Toc117243398"/>
      <w:bookmarkStart w:id="8" w:name="_Toc120105775"/>
      <w:r w:rsidRPr="00206EBC">
        <w:rPr>
          <w:szCs w:val="28"/>
        </w:rPr>
        <w:t>Workplace Assessment</w:t>
      </w:r>
      <w:bookmarkEnd w:id="7"/>
      <w:bookmarkEnd w:id="8"/>
    </w:p>
    <w:p w14:paraId="0C3DCDFB" w14:textId="77777777" w:rsidR="00157CCE" w:rsidRDefault="00157CCE" w:rsidP="00157CCE">
      <w:pPr>
        <w:spacing w:line="276" w:lineRule="auto"/>
        <w:jc w:val="both"/>
        <w:rPr>
          <w:rFonts w:ascii="Arial" w:hAnsi="Arial" w:cs="Arial"/>
        </w:rPr>
      </w:pPr>
      <w:r>
        <w:rPr>
          <w:rFonts w:ascii="Arial" w:hAnsi="Arial" w:cs="Arial"/>
          <w:bCs/>
        </w:rPr>
        <w:t xml:space="preserve">Workplace assessment in this qualification is </w:t>
      </w:r>
      <w:r w:rsidRPr="007A2553">
        <w:rPr>
          <w:rFonts w:ascii="Arial" w:hAnsi="Arial" w:cs="Arial"/>
          <w:bCs/>
        </w:rPr>
        <w:t xml:space="preserve">set out in the </w:t>
      </w:r>
      <w:r>
        <w:rPr>
          <w:rFonts w:ascii="Arial" w:hAnsi="Arial" w:cs="Arial"/>
          <w:bCs/>
        </w:rPr>
        <w:t>O</w:t>
      </w:r>
      <w:r w:rsidRPr="007A2553">
        <w:rPr>
          <w:rFonts w:ascii="Arial" w:hAnsi="Arial" w:cs="Arial"/>
          <w:bCs/>
        </w:rPr>
        <w:t xml:space="preserve">verarching Assessment Strategy for </w:t>
      </w:r>
      <w:r>
        <w:rPr>
          <w:rFonts w:ascii="Arial" w:hAnsi="Arial" w:cs="Arial"/>
          <w:bCs/>
        </w:rPr>
        <w:t>co</w:t>
      </w:r>
      <w:r w:rsidRPr="007A2553">
        <w:rPr>
          <w:rFonts w:ascii="Arial" w:hAnsi="Arial" w:cs="Arial"/>
          <w:bCs/>
        </w:rPr>
        <w:t xml:space="preserve">mpetence-based </w:t>
      </w:r>
      <w:r>
        <w:rPr>
          <w:rFonts w:ascii="Arial" w:hAnsi="Arial" w:cs="Arial"/>
          <w:bCs/>
        </w:rPr>
        <w:t>q</w:t>
      </w:r>
      <w:r w:rsidRPr="007A2553">
        <w:rPr>
          <w:rFonts w:ascii="Arial" w:hAnsi="Arial" w:cs="Arial"/>
          <w:bCs/>
        </w:rPr>
        <w:t xml:space="preserve">ualifications section 2.  </w:t>
      </w:r>
    </w:p>
    <w:p w14:paraId="3A13D2A7" w14:textId="66106CC7" w:rsidR="00157CCE" w:rsidRDefault="00157CCE" w:rsidP="00157CCE">
      <w:pPr>
        <w:spacing w:line="276" w:lineRule="auto"/>
        <w:jc w:val="both"/>
        <w:rPr>
          <w:rFonts w:ascii="Arial" w:hAnsi="Arial" w:cs="Arial"/>
        </w:rPr>
      </w:pPr>
      <w:r w:rsidRPr="00BD4DBE">
        <w:rPr>
          <w:rFonts w:ascii="Arial" w:hAnsi="Arial" w:cs="Arial"/>
        </w:rPr>
        <w:t>This is the environment in which the learner will engage in engineering activit</w:t>
      </w:r>
      <w:r>
        <w:rPr>
          <w:rFonts w:ascii="Arial" w:hAnsi="Arial" w:cs="Arial"/>
        </w:rPr>
        <w:t>ies</w:t>
      </w:r>
      <w:r w:rsidRPr="00BD4DBE">
        <w:rPr>
          <w:rFonts w:ascii="Arial" w:hAnsi="Arial" w:cs="Arial"/>
        </w:rPr>
        <w:t>. It is also the environment in which the learner will most easily engage with the products and services provided by the employer.</w:t>
      </w:r>
      <w:r w:rsidR="00D77C4A">
        <w:rPr>
          <w:rFonts w:ascii="Arial" w:hAnsi="Arial" w:cs="Arial"/>
        </w:rPr>
        <w:t xml:space="preserve"> </w:t>
      </w:r>
      <w:r w:rsidR="00D77C4A" w:rsidRPr="00D77C4A">
        <w:rPr>
          <w:rFonts w:ascii="Arial" w:hAnsi="Arial" w:cs="Arial"/>
        </w:rPr>
        <w:t xml:space="preserve">It is critical to the validity of this competence-based qualification that performance is assessed in the workplace. </w:t>
      </w:r>
      <w:r w:rsidR="00111BF2">
        <w:rPr>
          <w:rFonts w:ascii="Arial" w:hAnsi="Arial" w:cs="Arial"/>
        </w:rPr>
        <w:t>Therefore, l</w:t>
      </w:r>
      <w:r w:rsidR="00D77C4A" w:rsidRPr="00D77C4A">
        <w:rPr>
          <w:rFonts w:ascii="Arial" w:hAnsi="Arial" w:cs="Arial"/>
        </w:rPr>
        <w:t>earners must be in a relevant job role throughout the period they undertake the qualification</w:t>
      </w:r>
      <w:r w:rsidR="00D77C4A">
        <w:rPr>
          <w:rFonts w:ascii="Arial" w:hAnsi="Arial" w:cs="Arial"/>
        </w:rPr>
        <w:t>.</w:t>
      </w:r>
    </w:p>
    <w:p w14:paraId="25851A8D" w14:textId="552616C5" w:rsidR="00157CCE" w:rsidRDefault="00157CCE" w:rsidP="00157CCE">
      <w:pPr>
        <w:spacing w:line="276" w:lineRule="auto"/>
        <w:jc w:val="both"/>
        <w:rPr>
          <w:rFonts w:ascii="Arial" w:hAnsi="Arial" w:cs="Arial"/>
          <w:bCs/>
        </w:rPr>
      </w:pPr>
      <w:r w:rsidRPr="00AC39FD">
        <w:rPr>
          <w:rFonts w:ascii="Arial" w:hAnsi="Arial" w:cs="Arial"/>
          <w:bCs/>
        </w:rPr>
        <w:t>Learners are expected to demonstrate that they have met the performance</w:t>
      </w:r>
      <w:r w:rsidR="00FF5BCC">
        <w:rPr>
          <w:rFonts w:ascii="Arial" w:hAnsi="Arial" w:cs="Arial"/>
          <w:bCs/>
        </w:rPr>
        <w:t xml:space="preserve">, </w:t>
      </w:r>
      <w:r w:rsidRPr="00AC39FD">
        <w:rPr>
          <w:rFonts w:ascii="Arial" w:hAnsi="Arial" w:cs="Arial"/>
          <w:bCs/>
        </w:rPr>
        <w:t xml:space="preserve">knowledge and understanding </w:t>
      </w:r>
      <w:r>
        <w:rPr>
          <w:rFonts w:ascii="Arial" w:hAnsi="Arial" w:cs="Arial"/>
          <w:bCs/>
        </w:rPr>
        <w:t xml:space="preserve">requirements </w:t>
      </w:r>
      <w:r w:rsidRPr="00AC39FD">
        <w:rPr>
          <w:rFonts w:ascii="Arial" w:hAnsi="Arial" w:cs="Arial"/>
          <w:bCs/>
        </w:rPr>
        <w:t xml:space="preserve">of this qualification and are competent in </w:t>
      </w:r>
      <w:r w:rsidR="00604378" w:rsidRPr="00AC39FD">
        <w:rPr>
          <w:rFonts w:ascii="Arial" w:hAnsi="Arial" w:cs="Arial"/>
          <w:bCs/>
        </w:rPr>
        <w:t xml:space="preserve">an </w:t>
      </w:r>
      <w:r w:rsidR="00604378">
        <w:rPr>
          <w:rFonts w:ascii="Arial" w:hAnsi="Arial" w:cs="Arial"/>
          <w:bCs/>
        </w:rPr>
        <w:t>engineering</w:t>
      </w:r>
      <w:r w:rsidRPr="00AC39FD">
        <w:rPr>
          <w:rFonts w:ascii="Arial" w:hAnsi="Arial" w:cs="Arial"/>
          <w:bCs/>
        </w:rPr>
        <w:t xml:space="preserve"> </w:t>
      </w:r>
      <w:r>
        <w:rPr>
          <w:rFonts w:ascii="Arial" w:hAnsi="Arial" w:cs="Arial"/>
          <w:bCs/>
        </w:rPr>
        <w:t>operative or technician</w:t>
      </w:r>
      <w:r w:rsidRPr="00AC39FD">
        <w:rPr>
          <w:rFonts w:ascii="Arial" w:hAnsi="Arial" w:cs="Arial"/>
          <w:bCs/>
        </w:rPr>
        <w:t xml:space="preserve"> role. A key aspect of this qualification is the expectation that learners develop meta-skills and become aware of the importance of these skills – both in their role of a</w:t>
      </w:r>
      <w:r>
        <w:rPr>
          <w:rFonts w:ascii="Arial" w:hAnsi="Arial" w:cs="Arial"/>
          <w:bCs/>
        </w:rPr>
        <w:t>n engineering operative or</w:t>
      </w:r>
      <w:r w:rsidRPr="00AC39FD">
        <w:rPr>
          <w:rFonts w:ascii="Arial" w:hAnsi="Arial" w:cs="Arial"/>
          <w:bCs/>
        </w:rPr>
        <w:t xml:space="preserve"> technician and for their personal and career development. </w:t>
      </w:r>
    </w:p>
    <w:p w14:paraId="7E584A71" w14:textId="306DE0C0" w:rsidR="00157CCE" w:rsidRDefault="00157CCE" w:rsidP="00157CCE">
      <w:pPr>
        <w:spacing w:line="276" w:lineRule="auto"/>
        <w:jc w:val="both"/>
        <w:rPr>
          <w:rFonts w:ascii="Arial" w:hAnsi="Arial" w:cs="Arial"/>
          <w:bCs/>
          <w:lang w:val="en-US"/>
        </w:rPr>
      </w:pPr>
      <w:r w:rsidRPr="00FF6C33">
        <w:rPr>
          <w:rFonts w:ascii="Arial" w:hAnsi="Arial" w:cs="Arial"/>
          <w:bCs/>
        </w:rPr>
        <w:t xml:space="preserve">It is a general requirement that </w:t>
      </w:r>
      <w:r>
        <w:rPr>
          <w:rFonts w:ascii="Arial" w:hAnsi="Arial" w:cs="Arial"/>
          <w:bCs/>
          <w:lang w:val="en-US"/>
        </w:rPr>
        <w:t>a</w:t>
      </w:r>
      <w:r w:rsidRPr="00FF6C33">
        <w:rPr>
          <w:rFonts w:ascii="Arial" w:hAnsi="Arial" w:cs="Arial"/>
          <w:bCs/>
          <w:lang w:val="en-US"/>
        </w:rPr>
        <w:t xml:space="preserve">warding </w:t>
      </w:r>
      <w:r>
        <w:rPr>
          <w:rFonts w:ascii="Arial" w:hAnsi="Arial" w:cs="Arial"/>
          <w:bCs/>
          <w:lang w:val="en-US"/>
        </w:rPr>
        <w:t>b</w:t>
      </w:r>
      <w:r w:rsidRPr="00FF6C33">
        <w:rPr>
          <w:rFonts w:ascii="Arial" w:hAnsi="Arial" w:cs="Arial"/>
          <w:bCs/>
          <w:lang w:val="en-US"/>
        </w:rPr>
        <w:t xml:space="preserve">ody arrangements ensure </w:t>
      </w:r>
      <w:r w:rsidRPr="00FF6C33">
        <w:rPr>
          <w:rFonts w:ascii="Arial" w:hAnsi="Arial" w:cs="Arial"/>
          <w:bCs/>
        </w:rPr>
        <w:t xml:space="preserve">competence can be demonstrated over </w:t>
      </w:r>
      <w:proofErr w:type="gramStart"/>
      <w:r w:rsidRPr="00FF6C33">
        <w:rPr>
          <w:rFonts w:ascii="Arial" w:hAnsi="Arial" w:cs="Arial"/>
          <w:bCs/>
        </w:rPr>
        <w:t>a period</w:t>
      </w:r>
      <w:r>
        <w:rPr>
          <w:rFonts w:ascii="Arial" w:hAnsi="Arial" w:cs="Arial"/>
          <w:bCs/>
        </w:rPr>
        <w:t xml:space="preserve"> of time</w:t>
      </w:r>
      <w:proofErr w:type="gramEnd"/>
      <w:r>
        <w:rPr>
          <w:rFonts w:ascii="Arial" w:hAnsi="Arial" w:cs="Arial"/>
          <w:bCs/>
        </w:rPr>
        <w:t>,</w:t>
      </w:r>
      <w:r w:rsidRPr="00FF6C33">
        <w:rPr>
          <w:rFonts w:ascii="Arial" w:hAnsi="Arial" w:cs="Arial"/>
          <w:bCs/>
        </w:rPr>
        <w:t xml:space="preserve"> rather than simply </w:t>
      </w:r>
      <w:r w:rsidR="00097E74">
        <w:rPr>
          <w:rFonts w:ascii="Arial" w:hAnsi="Arial" w:cs="Arial"/>
          <w:bCs/>
        </w:rPr>
        <w:t xml:space="preserve">for </w:t>
      </w:r>
      <w:r w:rsidRPr="00FF6C33">
        <w:rPr>
          <w:rFonts w:ascii="Arial" w:hAnsi="Arial" w:cs="Arial"/>
          <w:bCs/>
        </w:rPr>
        <w:t xml:space="preserve">the purposes of a single assessment.  </w:t>
      </w:r>
      <w:r w:rsidRPr="00FF6C33">
        <w:rPr>
          <w:rFonts w:ascii="Arial" w:hAnsi="Arial" w:cs="Arial"/>
          <w:bCs/>
          <w:lang w:val="en-US"/>
        </w:rPr>
        <w:t xml:space="preserve">It is unlikely that performance evidence alone will provide enough evidence of competence in these specific areas. </w:t>
      </w:r>
      <w:proofErr w:type="gramStart"/>
      <w:r w:rsidRPr="00FF6C33">
        <w:rPr>
          <w:rFonts w:ascii="Arial" w:hAnsi="Arial" w:cs="Arial"/>
          <w:bCs/>
          <w:lang w:val="en-US"/>
        </w:rPr>
        <w:t>In particular, where</w:t>
      </w:r>
      <w:proofErr w:type="gramEnd"/>
      <w:r w:rsidRPr="00FF6C33">
        <w:rPr>
          <w:rFonts w:ascii="Arial" w:hAnsi="Arial" w:cs="Arial"/>
          <w:bCs/>
          <w:lang w:val="en-US"/>
        </w:rPr>
        <w:t xml:space="preserve"> the </w:t>
      </w:r>
      <w:r w:rsidR="008F500E" w:rsidRPr="00FF6C33">
        <w:rPr>
          <w:rFonts w:ascii="Arial" w:hAnsi="Arial" w:cs="Arial"/>
          <w:bCs/>
          <w:lang w:val="en-US"/>
        </w:rPr>
        <w:t>learner</w:t>
      </w:r>
      <w:r w:rsidR="008F500E">
        <w:rPr>
          <w:rFonts w:ascii="Arial" w:hAnsi="Arial" w:cs="Arial"/>
          <w:bCs/>
          <w:lang w:val="en-US"/>
        </w:rPr>
        <w:t>’s</w:t>
      </w:r>
      <w:r w:rsidRPr="00FF6C33">
        <w:rPr>
          <w:rFonts w:ascii="Arial" w:hAnsi="Arial" w:cs="Arial"/>
          <w:bCs/>
          <w:lang w:val="en-US"/>
        </w:rPr>
        <w:t xml:space="preserve"> knowledge and understanding </w:t>
      </w:r>
      <w:r w:rsidR="008F500E" w:rsidRPr="00FF6C33">
        <w:rPr>
          <w:rFonts w:ascii="Arial" w:hAnsi="Arial" w:cs="Arial"/>
          <w:bCs/>
          <w:lang w:val="en-US"/>
        </w:rPr>
        <w:t>are</w:t>
      </w:r>
      <w:r w:rsidRPr="00FF6C33">
        <w:rPr>
          <w:rFonts w:ascii="Arial" w:hAnsi="Arial" w:cs="Arial"/>
          <w:bCs/>
          <w:lang w:val="en-US"/>
        </w:rPr>
        <w:t xml:space="preserve"> not apparent from performance evidence, it must be assessed by other methods and be supported by suitable evidence.</w:t>
      </w:r>
    </w:p>
    <w:p w14:paraId="2F8ECE2E" w14:textId="14532F3E" w:rsidR="00501F48" w:rsidRPr="00F321CD" w:rsidRDefault="00501F48" w:rsidP="00501F48">
      <w:pPr>
        <w:pStyle w:val="Heading2"/>
        <w:spacing w:after="120"/>
        <w:jc w:val="both"/>
        <w:rPr>
          <w:lang w:val="en-US"/>
        </w:rPr>
      </w:pPr>
      <w:bookmarkStart w:id="9" w:name="_Toc117243399"/>
      <w:bookmarkStart w:id="10" w:name="_Toc120105776"/>
      <w:r w:rsidRPr="00F321CD">
        <w:rPr>
          <w:lang w:val="en-US"/>
        </w:rPr>
        <w:lastRenderedPageBreak/>
        <w:t>Holistic Assessment</w:t>
      </w:r>
      <w:bookmarkEnd w:id="9"/>
      <w:bookmarkEnd w:id="10"/>
    </w:p>
    <w:p w14:paraId="14888B43" w14:textId="79426475" w:rsidR="00501F48" w:rsidRDefault="00501F48" w:rsidP="00501F48">
      <w:pPr>
        <w:suppressAutoHyphens/>
        <w:autoSpaceDN w:val="0"/>
        <w:spacing w:line="276" w:lineRule="auto"/>
        <w:jc w:val="both"/>
        <w:textAlignment w:val="baseline"/>
        <w:rPr>
          <w:rFonts w:ascii="Arial" w:eastAsia="Calibri" w:hAnsi="Arial" w:cs="Arial"/>
        </w:rPr>
      </w:pPr>
      <w:r w:rsidRPr="00AC39FD">
        <w:rPr>
          <w:rFonts w:ascii="Arial" w:eastAsia="Calibri" w:hAnsi="Arial" w:cs="Arial"/>
        </w:rPr>
        <w:t xml:space="preserve">Holistic approaches to assessment are encouraged </w:t>
      </w:r>
      <w:r w:rsidRPr="00AC39FD">
        <w:rPr>
          <w:rFonts w:ascii="Arial" w:eastAsia="Calibri" w:hAnsi="Arial" w:cs="Arial"/>
          <w:lang w:val="en-US"/>
        </w:rPr>
        <w:t xml:space="preserve">so larger pieces of work are used to evidence </w:t>
      </w:r>
      <w:proofErr w:type="gramStart"/>
      <w:r w:rsidRPr="00AC39FD">
        <w:rPr>
          <w:rFonts w:ascii="Arial" w:eastAsia="Calibri" w:hAnsi="Arial" w:cs="Arial"/>
          <w:lang w:val="en-US"/>
        </w:rPr>
        <w:t>a</w:t>
      </w:r>
      <w:r w:rsidR="0082738A">
        <w:rPr>
          <w:rFonts w:ascii="Arial" w:eastAsia="Calibri" w:hAnsi="Arial" w:cs="Arial"/>
          <w:lang w:val="en-US"/>
        </w:rPr>
        <w:t xml:space="preserve"> </w:t>
      </w:r>
      <w:r w:rsidRPr="00AC39FD">
        <w:rPr>
          <w:rFonts w:ascii="Arial" w:eastAsia="Calibri" w:hAnsi="Arial" w:cs="Arial"/>
          <w:lang w:val="en-US"/>
        </w:rPr>
        <w:t>number of</w:t>
      </w:r>
      <w:proofErr w:type="gramEnd"/>
      <w:r w:rsidR="0082738A">
        <w:rPr>
          <w:rFonts w:ascii="Arial" w:eastAsia="Calibri" w:hAnsi="Arial" w:cs="Arial"/>
          <w:lang w:val="en-US"/>
        </w:rPr>
        <w:t xml:space="preserve"> </w:t>
      </w:r>
      <w:r w:rsidRPr="00AC39FD">
        <w:rPr>
          <w:rFonts w:ascii="Arial" w:eastAsia="Calibri" w:hAnsi="Arial" w:cs="Arial"/>
          <w:lang w:val="en-US"/>
        </w:rPr>
        <w:t>performance requirements rather than</w:t>
      </w:r>
      <w:r>
        <w:rPr>
          <w:rFonts w:ascii="Arial" w:eastAsia="Calibri" w:hAnsi="Arial" w:cs="Arial"/>
          <w:lang w:val="en-US"/>
        </w:rPr>
        <w:t xml:space="preserve"> the p</w:t>
      </w:r>
      <w:r w:rsidRPr="00AC39FD">
        <w:rPr>
          <w:rFonts w:ascii="Arial" w:eastAsia="Calibri" w:hAnsi="Arial" w:cs="Arial"/>
          <w:lang w:val="en-US"/>
        </w:rPr>
        <w:t>rocess of finding separate evidence for each performance requirement</w:t>
      </w:r>
      <w:r w:rsidR="009170E2">
        <w:rPr>
          <w:rFonts w:ascii="Arial" w:eastAsia="Calibri" w:hAnsi="Arial" w:cs="Arial"/>
          <w:lang w:val="en-US"/>
        </w:rPr>
        <w:t xml:space="preserve">. </w:t>
      </w:r>
      <w:r w:rsidRPr="00AC39FD">
        <w:rPr>
          <w:rFonts w:ascii="Arial" w:eastAsia="Calibri" w:hAnsi="Arial" w:cs="Arial"/>
        </w:rPr>
        <w:t>In this qualification</w:t>
      </w:r>
      <w:r w:rsidR="002A5693">
        <w:rPr>
          <w:rFonts w:ascii="Arial" w:eastAsia="Calibri" w:hAnsi="Arial" w:cs="Arial"/>
        </w:rPr>
        <w:t xml:space="preserve">, </w:t>
      </w:r>
      <w:r w:rsidRPr="00AC39FD">
        <w:rPr>
          <w:rFonts w:ascii="Arial" w:eastAsia="Calibri" w:hAnsi="Arial" w:cs="Arial"/>
        </w:rPr>
        <w:t>learners undertaking</w:t>
      </w:r>
      <w:r>
        <w:rPr>
          <w:rFonts w:ascii="Arial" w:eastAsia="Calibri" w:hAnsi="Arial" w:cs="Arial"/>
        </w:rPr>
        <w:t xml:space="preserve"> </w:t>
      </w:r>
      <w:r w:rsidR="00B76791">
        <w:rPr>
          <w:rFonts w:ascii="Arial" w:eastAsia="Calibri" w:hAnsi="Arial" w:cs="Arial"/>
        </w:rPr>
        <w:t>U</w:t>
      </w:r>
      <w:r w:rsidR="00D77C4A">
        <w:rPr>
          <w:rFonts w:ascii="Arial" w:eastAsia="Calibri" w:hAnsi="Arial" w:cs="Arial"/>
        </w:rPr>
        <w:t>nit SDS 0321 M</w:t>
      </w:r>
      <w:r w:rsidRPr="00501F48">
        <w:rPr>
          <w:rFonts w:ascii="Arial" w:eastAsia="Calibri" w:hAnsi="Arial" w:cs="Arial"/>
        </w:rPr>
        <w:t xml:space="preserve">aintaining engineering </w:t>
      </w:r>
      <w:r w:rsidRPr="007B5F36">
        <w:rPr>
          <w:rFonts w:ascii="Arial" w:eastAsia="Calibri" w:hAnsi="Arial" w:cs="Arial"/>
        </w:rPr>
        <w:t xml:space="preserve">assets </w:t>
      </w:r>
      <w:r w:rsidR="00CD49DC">
        <w:rPr>
          <w:rFonts w:ascii="Arial" w:eastAsia="Calibri" w:hAnsi="Arial" w:cs="Arial"/>
        </w:rPr>
        <w:t xml:space="preserve">could </w:t>
      </w:r>
      <w:r w:rsidRPr="007B5F36">
        <w:rPr>
          <w:rFonts w:ascii="Arial" w:eastAsia="Calibri" w:hAnsi="Arial" w:cs="Arial"/>
        </w:rPr>
        <w:t xml:space="preserve">likely provide assessment opportunities for </w:t>
      </w:r>
      <w:r w:rsidR="00D77C4A">
        <w:rPr>
          <w:rFonts w:ascii="Arial" w:eastAsia="Calibri" w:hAnsi="Arial" w:cs="Arial"/>
        </w:rPr>
        <w:t>Unit SDS 0326</w:t>
      </w:r>
      <w:r w:rsidR="002A5693">
        <w:rPr>
          <w:rFonts w:ascii="Arial" w:eastAsia="Calibri" w:hAnsi="Arial" w:cs="Arial"/>
        </w:rPr>
        <w:t xml:space="preserve"> </w:t>
      </w:r>
      <w:r w:rsidRPr="007B5F36">
        <w:rPr>
          <w:rFonts w:ascii="Arial" w:eastAsia="Calibri" w:hAnsi="Arial" w:cs="Arial"/>
        </w:rPr>
        <w:t xml:space="preserve">Repairing </w:t>
      </w:r>
      <w:r w:rsidR="005C7B37" w:rsidRPr="007B5F36">
        <w:rPr>
          <w:rFonts w:ascii="Arial" w:eastAsia="Calibri" w:hAnsi="Arial" w:cs="Arial"/>
        </w:rPr>
        <w:t xml:space="preserve">engineering assets </w:t>
      </w:r>
      <w:r w:rsidR="00D77C4A">
        <w:rPr>
          <w:rFonts w:ascii="Arial" w:eastAsia="Calibri" w:hAnsi="Arial" w:cs="Arial"/>
        </w:rPr>
        <w:t>and/or Unit SDS 0327</w:t>
      </w:r>
      <w:r w:rsidRPr="007B5F36">
        <w:rPr>
          <w:rFonts w:ascii="Arial" w:eastAsia="Calibri" w:hAnsi="Arial" w:cs="Arial"/>
        </w:rPr>
        <w:t xml:space="preserve"> Replacing engineering assets. </w:t>
      </w:r>
    </w:p>
    <w:p w14:paraId="6838CF13" w14:textId="4B71C76C" w:rsidR="009E2EBA" w:rsidRPr="009E2EBA" w:rsidRDefault="00D77C4A" w:rsidP="009E2EBA">
      <w:pPr>
        <w:suppressAutoHyphens/>
        <w:autoSpaceDN w:val="0"/>
        <w:spacing w:line="276" w:lineRule="auto"/>
        <w:jc w:val="both"/>
        <w:textAlignment w:val="baseline"/>
        <w:rPr>
          <w:rFonts w:ascii="Arial" w:hAnsi="Arial" w:cs="Arial"/>
        </w:rPr>
      </w:pPr>
      <w:r>
        <w:rPr>
          <w:rFonts w:ascii="Arial" w:eastAsia="Calibri" w:hAnsi="Arial" w:cs="Arial"/>
        </w:rPr>
        <w:t>I</w:t>
      </w:r>
      <w:r w:rsidRPr="00D77C4A">
        <w:rPr>
          <w:rFonts w:ascii="Arial" w:eastAsia="Calibri" w:hAnsi="Arial" w:cs="Arial"/>
        </w:rPr>
        <w:t xml:space="preserve">t is suggested that the most appropriate </w:t>
      </w:r>
      <w:r>
        <w:rPr>
          <w:rFonts w:ascii="Arial" w:eastAsia="Calibri" w:hAnsi="Arial" w:cs="Arial"/>
        </w:rPr>
        <w:t xml:space="preserve">performance </w:t>
      </w:r>
      <w:r w:rsidRPr="00D77C4A">
        <w:rPr>
          <w:rFonts w:ascii="Arial" w:eastAsia="Calibri" w:hAnsi="Arial" w:cs="Arial"/>
        </w:rPr>
        <w:t xml:space="preserve">methods </w:t>
      </w:r>
      <w:r w:rsidR="0020743D">
        <w:rPr>
          <w:rFonts w:ascii="Arial" w:eastAsia="Calibri" w:hAnsi="Arial" w:cs="Arial"/>
        </w:rPr>
        <w:t xml:space="preserve">of assessment </w:t>
      </w:r>
      <w:r w:rsidRPr="00D77C4A">
        <w:rPr>
          <w:rFonts w:ascii="Arial" w:eastAsia="Calibri" w:hAnsi="Arial" w:cs="Arial"/>
        </w:rPr>
        <w:t>for this qualification are direct observation</w:t>
      </w:r>
      <w:r w:rsidR="00CD49DC">
        <w:rPr>
          <w:rFonts w:ascii="Arial" w:eastAsia="Calibri" w:hAnsi="Arial" w:cs="Arial"/>
        </w:rPr>
        <w:t xml:space="preserve"> of practical</w:t>
      </w:r>
      <w:r w:rsidR="009E2EBA">
        <w:rPr>
          <w:rFonts w:ascii="Arial" w:eastAsia="Calibri" w:hAnsi="Arial" w:cs="Arial"/>
        </w:rPr>
        <w:t xml:space="preserve"> demonstration</w:t>
      </w:r>
      <w:r w:rsidRPr="00D77C4A">
        <w:rPr>
          <w:rFonts w:ascii="Arial" w:eastAsia="Calibri" w:hAnsi="Arial" w:cs="Arial"/>
        </w:rPr>
        <w:t xml:space="preserve">, </w:t>
      </w:r>
      <w:r w:rsidR="0020743D">
        <w:rPr>
          <w:rFonts w:ascii="Arial" w:eastAsia="Calibri" w:hAnsi="Arial" w:cs="Arial"/>
        </w:rPr>
        <w:t>e</w:t>
      </w:r>
      <w:r w:rsidRPr="00D77C4A">
        <w:rPr>
          <w:rFonts w:ascii="Arial" w:eastAsia="Calibri" w:hAnsi="Arial" w:cs="Arial"/>
        </w:rPr>
        <w:t xml:space="preserve">xpert </w:t>
      </w:r>
      <w:r w:rsidR="0020743D">
        <w:rPr>
          <w:rFonts w:ascii="Arial" w:eastAsia="Calibri" w:hAnsi="Arial" w:cs="Arial"/>
        </w:rPr>
        <w:t>w</w:t>
      </w:r>
      <w:r w:rsidRPr="00D77C4A">
        <w:rPr>
          <w:rFonts w:ascii="Arial" w:eastAsia="Calibri" w:hAnsi="Arial" w:cs="Arial"/>
        </w:rPr>
        <w:t>itness</w:t>
      </w:r>
      <w:r w:rsidR="0020743D">
        <w:rPr>
          <w:rFonts w:ascii="Arial" w:eastAsia="Calibri" w:hAnsi="Arial" w:cs="Arial"/>
        </w:rPr>
        <w:t xml:space="preserve"> testimonies, product evidence and reflective accounts. </w:t>
      </w:r>
      <w:r w:rsidR="00501F48" w:rsidRPr="00FF6C33">
        <w:rPr>
          <w:rFonts w:ascii="Arial" w:hAnsi="Arial" w:cs="Arial"/>
        </w:rPr>
        <w:t>Knowledge and understanding</w:t>
      </w:r>
      <w:r w:rsidR="00501F48">
        <w:rPr>
          <w:rFonts w:ascii="Arial" w:hAnsi="Arial" w:cs="Arial"/>
        </w:rPr>
        <w:t xml:space="preserve"> requirements</w:t>
      </w:r>
      <w:r w:rsidR="00501F48" w:rsidRPr="00FF6C33">
        <w:rPr>
          <w:rFonts w:ascii="Arial" w:hAnsi="Arial" w:cs="Arial"/>
        </w:rPr>
        <w:t xml:space="preserve"> can be demonstrated in </w:t>
      </w:r>
      <w:proofErr w:type="gramStart"/>
      <w:r w:rsidR="00501F48" w:rsidRPr="00FF6C33">
        <w:rPr>
          <w:rFonts w:ascii="Arial" w:hAnsi="Arial" w:cs="Arial"/>
        </w:rPr>
        <w:t>a number of</w:t>
      </w:r>
      <w:proofErr w:type="gramEnd"/>
      <w:r w:rsidR="00501F48" w:rsidRPr="00FF6C33">
        <w:rPr>
          <w:rFonts w:ascii="Arial" w:hAnsi="Arial" w:cs="Arial"/>
        </w:rPr>
        <w:t xml:space="preserve"> different ways,</w:t>
      </w:r>
      <w:r w:rsidR="0020743D">
        <w:rPr>
          <w:rFonts w:ascii="Arial" w:hAnsi="Arial" w:cs="Arial"/>
        </w:rPr>
        <w:t xml:space="preserve"> including</w:t>
      </w:r>
      <w:r w:rsidR="00501F48" w:rsidRPr="00FF6C33">
        <w:rPr>
          <w:rFonts w:ascii="Arial" w:hAnsi="Arial" w:cs="Arial"/>
        </w:rPr>
        <w:t xml:space="preserve"> </w:t>
      </w:r>
      <w:r w:rsidR="0020743D">
        <w:rPr>
          <w:rFonts w:ascii="Arial" w:hAnsi="Arial" w:cs="Arial"/>
        </w:rPr>
        <w:t>q</w:t>
      </w:r>
      <w:r w:rsidR="00501F48" w:rsidRPr="00FF6C33">
        <w:rPr>
          <w:rFonts w:ascii="Arial" w:hAnsi="Arial" w:cs="Arial"/>
        </w:rPr>
        <w:t>uestioning</w:t>
      </w:r>
      <w:r w:rsidR="0020743D">
        <w:rPr>
          <w:rFonts w:ascii="Arial" w:hAnsi="Arial" w:cs="Arial"/>
        </w:rPr>
        <w:t xml:space="preserve"> and </w:t>
      </w:r>
      <w:r w:rsidR="00501F48" w:rsidRPr="00FF6C33">
        <w:rPr>
          <w:rFonts w:ascii="Arial" w:hAnsi="Arial" w:cs="Arial"/>
        </w:rPr>
        <w:t>professional discussion</w:t>
      </w:r>
      <w:r w:rsidR="00CD49DC">
        <w:rPr>
          <w:rFonts w:ascii="Arial" w:hAnsi="Arial" w:cs="Arial"/>
        </w:rPr>
        <w:t>.</w:t>
      </w:r>
      <w:r w:rsidR="00501F48" w:rsidRPr="00FF6C33">
        <w:rPr>
          <w:rFonts w:ascii="Arial" w:hAnsi="Arial" w:cs="Arial"/>
        </w:rPr>
        <w:t xml:space="preserve"> </w:t>
      </w:r>
      <w:r w:rsidR="00CD49DC" w:rsidRPr="00CD49DC">
        <w:rPr>
          <w:rFonts w:ascii="Arial" w:hAnsi="Arial" w:cs="Arial"/>
        </w:rPr>
        <w:t xml:space="preserve">Where the </w:t>
      </w:r>
      <w:r w:rsidR="002A5693">
        <w:rPr>
          <w:rFonts w:ascii="Arial" w:hAnsi="Arial" w:cs="Arial"/>
        </w:rPr>
        <w:t>learner’</w:t>
      </w:r>
      <w:r w:rsidR="009E2EBA">
        <w:rPr>
          <w:rFonts w:ascii="Arial" w:hAnsi="Arial" w:cs="Arial"/>
        </w:rPr>
        <w:t xml:space="preserve">s </w:t>
      </w:r>
      <w:r w:rsidR="00CD49DC" w:rsidRPr="00CD49DC">
        <w:rPr>
          <w:rFonts w:ascii="Arial" w:hAnsi="Arial" w:cs="Arial"/>
        </w:rPr>
        <w:t xml:space="preserve">knowledge and understanding </w:t>
      </w:r>
      <w:r w:rsidR="008F500E" w:rsidRPr="00CD49DC">
        <w:rPr>
          <w:rFonts w:ascii="Arial" w:hAnsi="Arial" w:cs="Arial"/>
        </w:rPr>
        <w:t>are</w:t>
      </w:r>
      <w:r w:rsidR="00CD49DC" w:rsidRPr="00CD49DC">
        <w:rPr>
          <w:rFonts w:ascii="Arial" w:hAnsi="Arial" w:cs="Arial"/>
        </w:rPr>
        <w:t xml:space="preserve"> not apparent from performance evidence, it must be assessed by other means and be supported by suitable evidence. </w:t>
      </w:r>
      <w:r w:rsidR="009E2EBA" w:rsidRPr="009E2EBA">
        <w:rPr>
          <w:rFonts w:ascii="Arial" w:hAnsi="Arial" w:cs="Arial"/>
        </w:rPr>
        <w:t xml:space="preserve">Assessors should ask enough questions to be able to determine </w:t>
      </w:r>
      <w:r w:rsidR="008F500E">
        <w:rPr>
          <w:rFonts w:ascii="Arial" w:hAnsi="Arial" w:cs="Arial"/>
        </w:rPr>
        <w:t>the learner</w:t>
      </w:r>
      <w:r w:rsidR="009E2EBA" w:rsidRPr="009E2EBA">
        <w:rPr>
          <w:rFonts w:ascii="Arial" w:hAnsi="Arial" w:cs="Arial"/>
        </w:rPr>
        <w:t xml:space="preserve"> has an appropriate level of knowledge and understanding as required by the unit</w:t>
      </w:r>
      <w:r w:rsidR="009E2EBA">
        <w:rPr>
          <w:rFonts w:ascii="Arial" w:hAnsi="Arial" w:cs="Arial"/>
        </w:rPr>
        <w:t>s and context in which they are undertaken.</w:t>
      </w:r>
    </w:p>
    <w:p w14:paraId="60329F24" w14:textId="46D3AFAF" w:rsidR="00501F48" w:rsidRPr="007F608A" w:rsidRDefault="00BC233F" w:rsidP="00501F48">
      <w:pPr>
        <w:pStyle w:val="Heading2"/>
        <w:spacing w:after="120"/>
        <w:jc w:val="both"/>
      </w:pPr>
      <w:bookmarkStart w:id="11" w:name="_Toc117243401"/>
      <w:bookmarkStart w:id="12" w:name="_Toc120105778"/>
      <w:r>
        <w:t>S</w:t>
      </w:r>
      <w:r w:rsidR="00501F48" w:rsidRPr="007F608A">
        <w:t>imulation in a Realistic Working Environment</w:t>
      </w:r>
      <w:bookmarkEnd w:id="11"/>
      <w:bookmarkEnd w:id="12"/>
    </w:p>
    <w:p w14:paraId="111006DE" w14:textId="4F5320E2" w:rsidR="00501F48" w:rsidRDefault="00501F48" w:rsidP="00501F48">
      <w:pPr>
        <w:spacing w:line="276" w:lineRule="auto"/>
        <w:jc w:val="both"/>
        <w:rPr>
          <w:rFonts w:ascii="Arial" w:hAnsi="Arial" w:cs="Arial"/>
        </w:rPr>
      </w:pPr>
      <w:r w:rsidRPr="00BD4DBE">
        <w:rPr>
          <w:rFonts w:ascii="Arial" w:hAnsi="Arial" w:cs="Arial"/>
        </w:rPr>
        <w:t xml:space="preserve">Simulation guidance is set out in the </w:t>
      </w:r>
      <w:r>
        <w:rPr>
          <w:rFonts w:ascii="Arial" w:hAnsi="Arial" w:cs="Arial"/>
        </w:rPr>
        <w:t>O</w:t>
      </w:r>
      <w:r w:rsidRPr="00BD4DBE">
        <w:rPr>
          <w:rFonts w:ascii="Arial" w:hAnsi="Arial" w:cs="Arial"/>
        </w:rPr>
        <w:t xml:space="preserve">verarching </w:t>
      </w:r>
      <w:r w:rsidRPr="00913103">
        <w:rPr>
          <w:rFonts w:ascii="Arial" w:hAnsi="Arial" w:cs="Arial"/>
        </w:rPr>
        <w:t xml:space="preserve">Assessment Strategy for </w:t>
      </w:r>
      <w:r>
        <w:rPr>
          <w:rFonts w:ascii="Arial" w:hAnsi="Arial" w:cs="Arial"/>
        </w:rPr>
        <w:t>c</w:t>
      </w:r>
      <w:r w:rsidRPr="00913103">
        <w:rPr>
          <w:rFonts w:ascii="Arial" w:hAnsi="Arial" w:cs="Arial"/>
        </w:rPr>
        <w:t xml:space="preserve">ompetence-based </w:t>
      </w:r>
      <w:r>
        <w:rPr>
          <w:rFonts w:ascii="Arial" w:hAnsi="Arial" w:cs="Arial"/>
        </w:rPr>
        <w:t>q</w:t>
      </w:r>
      <w:r w:rsidRPr="00913103">
        <w:rPr>
          <w:rFonts w:ascii="Arial" w:hAnsi="Arial" w:cs="Arial"/>
        </w:rPr>
        <w:t>ualifications</w:t>
      </w:r>
      <w:r w:rsidRPr="00BD4DBE">
        <w:rPr>
          <w:rFonts w:ascii="Arial" w:hAnsi="Arial" w:cs="Arial"/>
        </w:rPr>
        <w:t xml:space="preserve">. </w:t>
      </w:r>
      <w:r w:rsidRPr="00BD4DBE">
        <w:rPr>
          <w:rFonts w:ascii="Arial" w:hAnsi="Arial" w:cs="Arial"/>
          <w:lang w:val="en-US"/>
        </w:rPr>
        <w:t>In these circumstances, assessment must be carried out in a realistic work environment and under conditions</w:t>
      </w:r>
      <w:r w:rsidR="0082738A">
        <w:rPr>
          <w:rFonts w:ascii="Arial" w:hAnsi="Arial" w:cs="Arial"/>
          <w:lang w:val="en-US"/>
        </w:rPr>
        <w:t xml:space="preserve"> </w:t>
      </w:r>
      <w:r w:rsidRPr="00BD4DBE">
        <w:rPr>
          <w:rFonts w:ascii="Arial" w:hAnsi="Arial" w:cs="Arial"/>
          <w:lang w:val="en-US"/>
        </w:rPr>
        <w:t>which replicate those of the workplace</w:t>
      </w:r>
      <w:r w:rsidR="002A5693">
        <w:rPr>
          <w:rFonts w:ascii="Arial" w:hAnsi="Arial" w:cs="Arial"/>
          <w:lang w:val="en-US"/>
        </w:rPr>
        <w:t xml:space="preserve">. </w:t>
      </w:r>
      <w:r w:rsidRPr="00BD4DBE">
        <w:rPr>
          <w:rFonts w:ascii="Arial" w:hAnsi="Arial" w:cs="Arial"/>
          <w:bCs/>
        </w:rPr>
        <w:t xml:space="preserve">Assessors must ensure that competence is fully transferable to the workplace. </w:t>
      </w:r>
      <w:r w:rsidRPr="00BD4DBE">
        <w:rPr>
          <w:rFonts w:ascii="Arial" w:hAnsi="Arial" w:cs="Arial"/>
        </w:rPr>
        <w:t xml:space="preserve">Minimal simulation is permitted in this qualification </w:t>
      </w:r>
      <w:r>
        <w:rPr>
          <w:rFonts w:ascii="Arial" w:hAnsi="Arial" w:cs="Arial"/>
        </w:rPr>
        <w:t>as</w:t>
      </w:r>
      <w:r w:rsidRPr="00BD4DBE">
        <w:rPr>
          <w:rFonts w:ascii="Arial" w:hAnsi="Arial" w:cs="Arial"/>
        </w:rPr>
        <w:t xml:space="preserve"> learners need to demonstrate they can perform consistently in the workplace over </w:t>
      </w:r>
      <w:proofErr w:type="gramStart"/>
      <w:r w:rsidRPr="00BD4DBE">
        <w:rPr>
          <w:rFonts w:ascii="Arial" w:hAnsi="Arial" w:cs="Arial"/>
        </w:rPr>
        <w:t>a period of time</w:t>
      </w:r>
      <w:proofErr w:type="gramEnd"/>
      <w:r w:rsidRPr="00BD4DBE">
        <w:rPr>
          <w:rFonts w:ascii="Arial" w:hAnsi="Arial" w:cs="Arial"/>
        </w:rPr>
        <w:t>.</w:t>
      </w:r>
    </w:p>
    <w:p w14:paraId="4D1216AB" w14:textId="77777777" w:rsidR="00E26734" w:rsidRPr="00E26734" w:rsidRDefault="00E26734" w:rsidP="00E26734">
      <w:pPr>
        <w:spacing w:line="276" w:lineRule="auto"/>
        <w:jc w:val="both"/>
        <w:rPr>
          <w:rFonts w:ascii="Arial" w:hAnsi="Arial" w:cs="Arial"/>
          <w:bCs/>
          <w:lang w:val="en-US"/>
        </w:rPr>
      </w:pPr>
      <w:r>
        <w:rPr>
          <w:rFonts w:ascii="Arial" w:hAnsi="Arial" w:cs="Arial"/>
        </w:rPr>
        <w:t xml:space="preserve">Where simulation is used an Awarding Body EQA should be consulted </w:t>
      </w:r>
      <w:r w:rsidRPr="00E26734">
        <w:rPr>
          <w:rFonts w:ascii="Arial" w:hAnsi="Arial" w:cs="Arial"/>
          <w:bCs/>
          <w:lang w:val="en-US"/>
        </w:rPr>
        <w:t>and agreement reached on what is suitable.</w:t>
      </w:r>
    </w:p>
    <w:p w14:paraId="2EE41D82" w14:textId="7A04E5DA" w:rsidR="00501F48" w:rsidRPr="007F608A" w:rsidRDefault="00501F48" w:rsidP="00501F48">
      <w:pPr>
        <w:spacing w:line="276" w:lineRule="auto"/>
        <w:jc w:val="both"/>
        <w:rPr>
          <w:rFonts w:ascii="Arial" w:hAnsi="Arial" w:cs="Arial"/>
        </w:rPr>
      </w:pPr>
      <w:r w:rsidRPr="00BD4DBE">
        <w:rPr>
          <w:rFonts w:ascii="Arial" w:hAnsi="Arial" w:cs="Arial"/>
        </w:rPr>
        <w:t>The performance requirements set out in this qualification describe</w:t>
      </w:r>
      <w:r w:rsidR="0082738A">
        <w:rPr>
          <w:rFonts w:ascii="Arial" w:hAnsi="Arial" w:cs="Arial"/>
        </w:rPr>
        <w:t xml:space="preserve"> </w:t>
      </w:r>
      <w:r w:rsidR="008F500E" w:rsidRPr="00BD4DBE">
        <w:rPr>
          <w:rFonts w:ascii="Arial" w:hAnsi="Arial" w:cs="Arial"/>
        </w:rPr>
        <w:t>routinely</w:t>
      </w:r>
      <w:r w:rsidR="008F500E">
        <w:rPr>
          <w:rFonts w:ascii="Arial" w:hAnsi="Arial" w:cs="Arial"/>
        </w:rPr>
        <w:t xml:space="preserve"> </w:t>
      </w:r>
      <w:r w:rsidR="008F500E" w:rsidRPr="00BD4DBE">
        <w:rPr>
          <w:rFonts w:ascii="Arial" w:hAnsi="Arial" w:cs="Arial"/>
        </w:rPr>
        <w:t>performed</w:t>
      </w:r>
      <w:r w:rsidRPr="00BD4DBE">
        <w:rPr>
          <w:rFonts w:ascii="Arial" w:hAnsi="Arial" w:cs="Arial"/>
        </w:rPr>
        <w:t xml:space="preserve"> aspects of the role and</w:t>
      </w:r>
      <w:r w:rsidR="0082738A">
        <w:rPr>
          <w:rFonts w:ascii="Arial" w:hAnsi="Arial" w:cs="Arial"/>
        </w:rPr>
        <w:t xml:space="preserve"> </w:t>
      </w:r>
      <w:r w:rsidRPr="00BC233F">
        <w:rPr>
          <w:rFonts w:ascii="Arial" w:hAnsi="Arial" w:cs="Arial"/>
        </w:rPr>
        <w:t>there is no need to allow more than a minimal element of simulation</w:t>
      </w:r>
      <w:r w:rsidR="0082738A">
        <w:rPr>
          <w:rFonts w:ascii="Arial" w:hAnsi="Arial" w:cs="Arial"/>
        </w:rPr>
        <w:t xml:space="preserve"> </w:t>
      </w:r>
      <w:r w:rsidRPr="00BC233F">
        <w:rPr>
          <w:rFonts w:ascii="Arial" w:hAnsi="Arial" w:cs="Arial"/>
        </w:rPr>
        <w:t>in the</w:t>
      </w:r>
      <w:r w:rsidR="0082738A">
        <w:rPr>
          <w:rFonts w:ascii="Arial" w:hAnsi="Arial" w:cs="Arial"/>
        </w:rPr>
        <w:t xml:space="preserve"> </w:t>
      </w:r>
      <w:r w:rsidRPr="00BC233F">
        <w:rPr>
          <w:rFonts w:ascii="Arial" w:hAnsi="Arial" w:cs="Arial"/>
        </w:rPr>
        <w:t>assessment.</w:t>
      </w:r>
      <w:r w:rsidRPr="00BD4DBE">
        <w:rPr>
          <w:rFonts w:ascii="Arial" w:hAnsi="Arial" w:cs="Arial"/>
        </w:rPr>
        <w:t xml:space="preserve"> </w:t>
      </w:r>
    </w:p>
    <w:p w14:paraId="004CDA2C" w14:textId="5DE9FB1A" w:rsidR="00501F48" w:rsidRDefault="00501F48" w:rsidP="00501F48">
      <w:pPr>
        <w:spacing w:line="276" w:lineRule="auto"/>
        <w:jc w:val="both"/>
        <w:rPr>
          <w:rFonts w:ascii="Arial" w:hAnsi="Arial" w:cs="Arial"/>
          <w:b/>
          <w:bCs/>
        </w:rPr>
      </w:pPr>
      <w:r>
        <w:rPr>
          <w:rFonts w:ascii="Arial" w:hAnsi="Arial" w:cs="Arial"/>
          <w:b/>
          <w:bCs/>
        </w:rPr>
        <w:t>The following table indicates the unit and performance requirements where simulation is permitted</w:t>
      </w:r>
      <w:r w:rsidR="002B59E3">
        <w:rPr>
          <w:rFonts w:ascii="Arial" w:hAnsi="Arial" w:cs="Arial"/>
          <w:b/>
          <w:bCs/>
        </w:rPr>
        <w:t>.</w:t>
      </w:r>
      <w:r w:rsidR="009170E2">
        <w:rPr>
          <w:rFonts w:ascii="Arial" w:hAnsi="Arial" w:cs="Arial"/>
          <w:b/>
          <w:bCs/>
        </w:rPr>
        <w:t xml:space="preserve"> </w:t>
      </w:r>
    </w:p>
    <w:tbl>
      <w:tblPr>
        <w:tblStyle w:val="TableGrid"/>
        <w:tblW w:w="0" w:type="auto"/>
        <w:tblInd w:w="0" w:type="dxa"/>
        <w:tblLook w:val="04A0" w:firstRow="1" w:lastRow="0" w:firstColumn="1" w:lastColumn="0" w:noHBand="0" w:noVBand="1"/>
      </w:tblPr>
      <w:tblGrid>
        <w:gridCol w:w="4531"/>
        <w:gridCol w:w="4485"/>
      </w:tblGrid>
      <w:tr w:rsidR="00501F48" w14:paraId="0DAD9DC7" w14:textId="77777777" w:rsidTr="00BC7669">
        <w:tc>
          <w:tcPr>
            <w:tcW w:w="4531" w:type="dxa"/>
          </w:tcPr>
          <w:p w14:paraId="1F5A8A93" w14:textId="299EDCD0" w:rsidR="00501F48" w:rsidRPr="00FE5680" w:rsidRDefault="00BC7669" w:rsidP="00A22807">
            <w:pPr>
              <w:spacing w:line="276" w:lineRule="auto"/>
              <w:jc w:val="both"/>
              <w:rPr>
                <w:rFonts w:ascii="Arial" w:hAnsi="Arial" w:cs="Arial"/>
                <w:b/>
                <w:bCs/>
              </w:rPr>
            </w:pPr>
            <w:r w:rsidRPr="00FE5680">
              <w:rPr>
                <w:rFonts w:ascii="Arial" w:hAnsi="Arial" w:cs="Arial"/>
                <w:b/>
                <w:bCs/>
              </w:rPr>
              <w:t xml:space="preserve">Unit </w:t>
            </w:r>
            <w:r>
              <w:rPr>
                <w:rFonts w:ascii="Arial" w:hAnsi="Arial" w:cs="Arial"/>
                <w:b/>
                <w:bCs/>
              </w:rPr>
              <w:t>Titles</w:t>
            </w:r>
          </w:p>
        </w:tc>
        <w:tc>
          <w:tcPr>
            <w:tcW w:w="4485" w:type="dxa"/>
          </w:tcPr>
          <w:p w14:paraId="6F82F2E8" w14:textId="747486B0" w:rsidR="00501F48" w:rsidRPr="00FE5680" w:rsidRDefault="00A10609" w:rsidP="00A22807">
            <w:pPr>
              <w:spacing w:line="276" w:lineRule="auto"/>
              <w:jc w:val="both"/>
              <w:rPr>
                <w:rFonts w:ascii="Arial" w:hAnsi="Arial" w:cs="Arial"/>
                <w:b/>
                <w:bCs/>
              </w:rPr>
            </w:pPr>
            <w:r>
              <w:rPr>
                <w:rFonts w:ascii="Arial" w:hAnsi="Arial" w:cs="Arial"/>
                <w:b/>
                <w:bCs/>
              </w:rPr>
              <w:t xml:space="preserve">Performance </w:t>
            </w:r>
            <w:r w:rsidR="00CD57FF">
              <w:rPr>
                <w:rFonts w:ascii="Arial" w:hAnsi="Arial" w:cs="Arial"/>
                <w:b/>
                <w:bCs/>
              </w:rPr>
              <w:t>R</w:t>
            </w:r>
            <w:r>
              <w:rPr>
                <w:rFonts w:ascii="Arial" w:hAnsi="Arial" w:cs="Arial"/>
                <w:b/>
                <w:bCs/>
              </w:rPr>
              <w:t>eferences</w:t>
            </w:r>
          </w:p>
        </w:tc>
      </w:tr>
      <w:tr w:rsidR="00501F48" w14:paraId="0B9CA6CF" w14:textId="77777777" w:rsidTr="00BC7669">
        <w:tc>
          <w:tcPr>
            <w:tcW w:w="4531" w:type="dxa"/>
          </w:tcPr>
          <w:p w14:paraId="588A998F" w14:textId="121063CE" w:rsidR="00501F48" w:rsidRPr="00CD57FF" w:rsidRDefault="00D5674D" w:rsidP="00A22807">
            <w:pPr>
              <w:spacing w:before="60" w:after="60"/>
              <w:rPr>
                <w:rFonts w:ascii="Arial" w:hAnsi="Arial" w:cs="Arial"/>
              </w:rPr>
            </w:pPr>
            <w:r w:rsidRPr="00CD57FF">
              <w:rPr>
                <w:rFonts w:ascii="Arial" w:hAnsi="Arial" w:cs="Arial"/>
              </w:rPr>
              <w:t xml:space="preserve">SDS 0323 - </w:t>
            </w:r>
            <w:r w:rsidR="00501F48" w:rsidRPr="00CD57FF">
              <w:rPr>
                <w:rFonts w:ascii="Arial" w:hAnsi="Arial" w:cs="Arial"/>
              </w:rPr>
              <w:t xml:space="preserve">Performing core engineering activities </w:t>
            </w:r>
          </w:p>
        </w:tc>
        <w:tc>
          <w:tcPr>
            <w:tcW w:w="4485" w:type="dxa"/>
          </w:tcPr>
          <w:p w14:paraId="5831DA9D" w14:textId="4D148AD0" w:rsidR="00501F48" w:rsidRPr="00CD57FF" w:rsidRDefault="00501F48" w:rsidP="00A22807">
            <w:pPr>
              <w:spacing w:line="276" w:lineRule="auto"/>
              <w:rPr>
                <w:rFonts w:ascii="Arial" w:hAnsi="Arial" w:cs="Arial"/>
              </w:rPr>
            </w:pPr>
            <w:r w:rsidRPr="00CD57FF">
              <w:rPr>
                <w:rFonts w:ascii="Arial" w:hAnsi="Arial" w:cs="Arial"/>
              </w:rPr>
              <w:t>Performance requirements 4</w:t>
            </w:r>
            <w:r w:rsidR="009170E2" w:rsidRPr="00CD57FF">
              <w:rPr>
                <w:rFonts w:ascii="Arial" w:hAnsi="Arial" w:cs="Arial"/>
              </w:rPr>
              <w:t xml:space="preserve"> &amp; 5</w:t>
            </w:r>
            <w:r w:rsidRPr="00CD57FF">
              <w:rPr>
                <w:rFonts w:ascii="Arial" w:hAnsi="Arial" w:cs="Arial"/>
              </w:rPr>
              <w:t xml:space="preserve"> See further </w:t>
            </w:r>
            <w:r w:rsidR="009170E2" w:rsidRPr="00CD57FF">
              <w:rPr>
                <w:rFonts w:ascii="Arial" w:hAnsi="Arial" w:cs="Arial"/>
              </w:rPr>
              <w:t>specific unit</w:t>
            </w:r>
            <w:r w:rsidR="00A10609" w:rsidRPr="00CD57FF">
              <w:rPr>
                <w:rFonts w:ascii="Arial" w:hAnsi="Arial" w:cs="Arial"/>
              </w:rPr>
              <w:t xml:space="preserve"> and simulation guidance </w:t>
            </w:r>
            <w:r w:rsidRPr="00CD57FF">
              <w:rPr>
                <w:rFonts w:ascii="Arial" w:hAnsi="Arial" w:cs="Arial"/>
              </w:rPr>
              <w:t xml:space="preserve">in </w:t>
            </w:r>
            <w:r w:rsidR="009170E2" w:rsidRPr="00CD57FF">
              <w:rPr>
                <w:rFonts w:ascii="Arial" w:hAnsi="Arial" w:cs="Arial"/>
              </w:rPr>
              <w:t xml:space="preserve">this </w:t>
            </w:r>
            <w:r w:rsidRPr="00CD57FF">
              <w:rPr>
                <w:rFonts w:ascii="Arial" w:hAnsi="Arial" w:cs="Arial"/>
              </w:rPr>
              <w:t xml:space="preserve">section </w:t>
            </w:r>
          </w:p>
        </w:tc>
      </w:tr>
    </w:tbl>
    <w:p w14:paraId="4FA38437" w14:textId="77777777" w:rsidR="00501F48" w:rsidRPr="00946060" w:rsidRDefault="00501F48" w:rsidP="00501F48">
      <w:pPr>
        <w:spacing w:line="276" w:lineRule="auto"/>
        <w:jc w:val="both"/>
        <w:rPr>
          <w:rFonts w:ascii="Arial" w:hAnsi="Arial" w:cs="Arial"/>
        </w:rPr>
      </w:pPr>
    </w:p>
    <w:p w14:paraId="509D375F" w14:textId="04F029FB" w:rsidR="00501F48" w:rsidRPr="00BD4DBE" w:rsidRDefault="00501F48" w:rsidP="00501F48">
      <w:pPr>
        <w:spacing w:line="276" w:lineRule="auto"/>
        <w:jc w:val="both"/>
        <w:rPr>
          <w:rFonts w:ascii="Arial" w:hAnsi="Arial" w:cs="Arial"/>
        </w:rPr>
      </w:pPr>
      <w:r w:rsidRPr="00BD4DBE">
        <w:rPr>
          <w:rFonts w:ascii="Arial" w:hAnsi="Arial" w:cs="Arial"/>
        </w:rPr>
        <w:t>For the relevant performance requirements</w:t>
      </w:r>
      <w:r>
        <w:rPr>
          <w:rFonts w:ascii="Arial" w:hAnsi="Arial" w:cs="Arial"/>
        </w:rPr>
        <w:t xml:space="preserve">, </w:t>
      </w:r>
      <w:r w:rsidRPr="00BD4DBE">
        <w:rPr>
          <w:rFonts w:ascii="Arial" w:hAnsi="Arial" w:cs="Arial"/>
        </w:rPr>
        <w:t>specified above, simulation is permissible only when the learner is unable</w:t>
      </w:r>
      <w:r w:rsidR="0082738A">
        <w:rPr>
          <w:rFonts w:ascii="Arial" w:hAnsi="Arial" w:cs="Arial"/>
        </w:rPr>
        <w:t xml:space="preserve"> </w:t>
      </w:r>
      <w:r w:rsidRPr="00BD4DBE">
        <w:rPr>
          <w:rFonts w:ascii="Arial" w:hAnsi="Arial" w:cs="Arial"/>
        </w:rPr>
        <w:t xml:space="preserve">to provide sufficient evidence of workplace performance due to the various working practices of different organisations or job roles.  </w:t>
      </w:r>
    </w:p>
    <w:p w14:paraId="1B84C0A8" w14:textId="77777777" w:rsidR="009470FB" w:rsidRPr="00CF7FF4" w:rsidRDefault="009470FB" w:rsidP="009470FB">
      <w:pPr>
        <w:pStyle w:val="Heading1"/>
        <w:spacing w:after="120"/>
        <w:jc w:val="both"/>
      </w:pPr>
      <w:bookmarkStart w:id="13" w:name="_Toc120093609"/>
      <w:bookmarkStart w:id="14" w:name="_Toc120105779"/>
      <w:r w:rsidRPr="008F4BC4">
        <w:lastRenderedPageBreak/>
        <w:t xml:space="preserve">Additional assessment guidance </w:t>
      </w:r>
      <w:r w:rsidRPr="007F608A">
        <w:t xml:space="preserve">for </w:t>
      </w:r>
      <w:r>
        <w:t xml:space="preserve">specific </w:t>
      </w:r>
      <w:r w:rsidRPr="007F608A">
        <w:t>units</w:t>
      </w:r>
      <w:bookmarkEnd w:id="13"/>
      <w:bookmarkEnd w:id="14"/>
    </w:p>
    <w:p w14:paraId="4EDFA454" w14:textId="641C86D5" w:rsidR="009470FB" w:rsidRDefault="009470FB" w:rsidP="009470FB">
      <w:pPr>
        <w:pStyle w:val="Heading2"/>
        <w:spacing w:after="120"/>
        <w:jc w:val="both"/>
      </w:pPr>
      <w:bookmarkStart w:id="15" w:name="_Toc120105780"/>
      <w:r w:rsidRPr="008B0A65">
        <w:t>Unit</w:t>
      </w:r>
      <w:r w:rsidR="00772E48" w:rsidRPr="008B0A65">
        <w:t xml:space="preserve"> SDS 0323</w:t>
      </w:r>
      <w:r w:rsidRPr="008B0A65">
        <w:t xml:space="preserve"> - Performing core engineering activities</w:t>
      </w:r>
      <w:bookmarkEnd w:id="15"/>
    </w:p>
    <w:p w14:paraId="74B0064D" w14:textId="2DD5C137" w:rsidR="009470FB" w:rsidRDefault="009470FB" w:rsidP="009470FB">
      <w:pPr>
        <w:spacing w:line="276" w:lineRule="auto"/>
        <w:rPr>
          <w:rFonts w:ascii="Arial" w:hAnsi="Arial" w:cs="Arial"/>
          <w:b/>
          <w:bCs/>
          <w:sz w:val="24"/>
          <w:szCs w:val="24"/>
        </w:rPr>
      </w:pPr>
      <w:r>
        <w:rPr>
          <w:rFonts w:ascii="Arial" w:hAnsi="Arial" w:cs="Arial"/>
        </w:rPr>
        <w:t xml:space="preserve">This unit is designed to provide learners with a range of core engineering knowledge and competences to enable them to perform all </w:t>
      </w:r>
      <w:r w:rsidR="00C648D1">
        <w:rPr>
          <w:rFonts w:ascii="Arial" w:hAnsi="Arial" w:cs="Arial"/>
        </w:rPr>
        <w:t>work-related</w:t>
      </w:r>
      <w:r>
        <w:rPr>
          <w:rFonts w:ascii="Arial" w:hAnsi="Arial" w:cs="Arial"/>
        </w:rPr>
        <w:t xml:space="preserve"> engineering activity </w:t>
      </w:r>
      <w:proofErr w:type="gramStart"/>
      <w:r>
        <w:rPr>
          <w:rFonts w:ascii="Arial" w:hAnsi="Arial" w:cs="Arial"/>
        </w:rPr>
        <w:t>safely, and</w:t>
      </w:r>
      <w:proofErr w:type="gramEnd"/>
      <w:r>
        <w:rPr>
          <w:rFonts w:ascii="Arial" w:hAnsi="Arial" w:cs="Arial"/>
        </w:rPr>
        <w:t xml:space="preserve"> develop an understanding of the key engineering knowledge that should be applied consistently when undertaking any engineering based activity. The evidence for this </w:t>
      </w:r>
      <w:r w:rsidRPr="0044145B">
        <w:rPr>
          <w:rFonts w:ascii="Arial" w:hAnsi="Arial" w:cs="Arial"/>
        </w:rPr>
        <w:t>unit is likely to come from specific performance and application of knowledge from other units</w:t>
      </w:r>
      <w:r w:rsidR="008D1EC0">
        <w:rPr>
          <w:rFonts w:ascii="Arial" w:hAnsi="Arial" w:cs="Arial"/>
        </w:rPr>
        <w:t xml:space="preserve">. </w:t>
      </w:r>
      <w:r>
        <w:rPr>
          <w:rFonts w:ascii="Arial" w:hAnsi="Arial" w:cs="Arial"/>
        </w:rPr>
        <w:t xml:space="preserve">However, </w:t>
      </w:r>
      <w:r w:rsidR="00785E16">
        <w:rPr>
          <w:rFonts w:ascii="Arial" w:hAnsi="Arial" w:cs="Arial"/>
        </w:rPr>
        <w:t>as</w:t>
      </w:r>
      <w:r>
        <w:rPr>
          <w:rFonts w:ascii="Arial" w:hAnsi="Arial" w:cs="Arial"/>
        </w:rPr>
        <w:t xml:space="preserve"> the critical nature of certain aspects of this unit </w:t>
      </w:r>
      <w:r w:rsidR="00785E16">
        <w:rPr>
          <w:rFonts w:ascii="Arial" w:hAnsi="Arial" w:cs="Arial"/>
        </w:rPr>
        <w:t xml:space="preserve">which </w:t>
      </w:r>
      <w:r>
        <w:rPr>
          <w:rFonts w:ascii="Arial" w:hAnsi="Arial" w:cs="Arial"/>
        </w:rPr>
        <w:t>relate to safety, PPE and other critical engineering factors</w:t>
      </w:r>
      <w:r w:rsidR="00785E16">
        <w:rPr>
          <w:rFonts w:ascii="Arial" w:hAnsi="Arial" w:cs="Arial"/>
        </w:rPr>
        <w:t xml:space="preserve">, </w:t>
      </w:r>
      <w:r>
        <w:rPr>
          <w:rFonts w:ascii="Arial" w:hAnsi="Arial" w:cs="Arial"/>
        </w:rPr>
        <w:t xml:space="preserve">a significant proportion </w:t>
      </w:r>
      <w:r w:rsidRPr="007C0518">
        <w:rPr>
          <w:rFonts w:ascii="Arial" w:hAnsi="Arial" w:cs="Arial"/>
        </w:rPr>
        <w:t>of the knowledge may need to be provided in advance of the learner undertaking other work activities</w:t>
      </w:r>
      <w:r w:rsidR="00C5208E">
        <w:rPr>
          <w:rFonts w:ascii="Arial" w:hAnsi="Arial" w:cs="Arial"/>
        </w:rPr>
        <w:t>.</w:t>
      </w:r>
      <w:r w:rsidRPr="007C0518">
        <w:rPr>
          <w:rFonts w:ascii="Arial" w:hAnsi="Arial" w:cs="Arial"/>
        </w:rPr>
        <w:t xml:space="preserve">  </w:t>
      </w:r>
    </w:p>
    <w:p w14:paraId="214AE87C" w14:textId="1A0A647A" w:rsidR="009470FB" w:rsidRPr="00B43457" w:rsidRDefault="009470FB" w:rsidP="009470FB">
      <w:pPr>
        <w:spacing w:line="276" w:lineRule="auto"/>
        <w:rPr>
          <w:rFonts w:ascii="Arial" w:hAnsi="Arial" w:cs="Arial"/>
          <w:b/>
          <w:bCs/>
          <w:sz w:val="24"/>
          <w:szCs w:val="24"/>
        </w:rPr>
      </w:pPr>
      <w:r w:rsidRPr="00B43457">
        <w:rPr>
          <w:rFonts w:ascii="Arial" w:hAnsi="Arial" w:cs="Arial"/>
          <w:b/>
          <w:bCs/>
          <w:sz w:val="24"/>
          <w:szCs w:val="24"/>
        </w:rPr>
        <w:t xml:space="preserve">Unit </w:t>
      </w:r>
      <w:r w:rsidR="00772E48">
        <w:rPr>
          <w:rFonts w:ascii="Arial" w:hAnsi="Arial" w:cs="Arial"/>
          <w:b/>
          <w:bCs/>
          <w:sz w:val="24"/>
          <w:szCs w:val="24"/>
        </w:rPr>
        <w:t>SDS 0329</w:t>
      </w:r>
      <w:r>
        <w:rPr>
          <w:rFonts w:ascii="Arial" w:hAnsi="Arial" w:cs="Arial"/>
          <w:b/>
          <w:bCs/>
          <w:sz w:val="24"/>
          <w:szCs w:val="24"/>
        </w:rPr>
        <w:t xml:space="preserve"> - </w:t>
      </w:r>
      <w:bookmarkStart w:id="16" w:name="_Hlk124845889"/>
      <w:r w:rsidRPr="00B43457">
        <w:rPr>
          <w:rFonts w:ascii="Arial" w:hAnsi="Arial" w:cs="Arial"/>
          <w:b/>
          <w:bCs/>
          <w:sz w:val="24"/>
          <w:szCs w:val="24"/>
        </w:rPr>
        <w:t>Understanding the importance of</w:t>
      </w:r>
      <w:r w:rsidRPr="00B43457">
        <w:rPr>
          <w:rFonts w:ascii="Arial" w:hAnsi="Arial" w:cs="Arial"/>
          <w:b/>
          <w:bCs/>
          <w:spacing w:val="-3"/>
          <w:sz w:val="24"/>
          <w:szCs w:val="24"/>
        </w:rPr>
        <w:t xml:space="preserve"> </w:t>
      </w:r>
      <w:r w:rsidRPr="00B43457">
        <w:rPr>
          <w:rFonts w:ascii="Arial" w:hAnsi="Arial" w:cs="Arial"/>
          <w:b/>
          <w:bCs/>
          <w:sz w:val="24"/>
          <w:szCs w:val="24"/>
        </w:rPr>
        <w:t>environmental</w:t>
      </w:r>
      <w:r w:rsidRPr="00B43457">
        <w:rPr>
          <w:rFonts w:ascii="Arial" w:hAnsi="Arial" w:cs="Arial"/>
          <w:b/>
          <w:bCs/>
          <w:spacing w:val="-3"/>
          <w:sz w:val="24"/>
          <w:szCs w:val="24"/>
        </w:rPr>
        <w:t xml:space="preserve"> </w:t>
      </w:r>
      <w:r w:rsidRPr="00B43457">
        <w:rPr>
          <w:rFonts w:ascii="Arial" w:hAnsi="Arial" w:cs="Arial"/>
          <w:b/>
          <w:bCs/>
          <w:sz w:val="24"/>
          <w:szCs w:val="24"/>
        </w:rPr>
        <w:t>good</w:t>
      </w:r>
      <w:r w:rsidRPr="00B43457">
        <w:rPr>
          <w:rFonts w:ascii="Arial" w:hAnsi="Arial" w:cs="Arial"/>
          <w:b/>
          <w:bCs/>
          <w:spacing w:val="-1"/>
          <w:sz w:val="24"/>
          <w:szCs w:val="24"/>
        </w:rPr>
        <w:t xml:space="preserve"> </w:t>
      </w:r>
      <w:r w:rsidRPr="00B43457">
        <w:rPr>
          <w:rFonts w:ascii="Arial" w:hAnsi="Arial" w:cs="Arial"/>
          <w:b/>
          <w:bCs/>
          <w:sz w:val="24"/>
          <w:szCs w:val="24"/>
        </w:rPr>
        <w:t xml:space="preserve">practice and </w:t>
      </w:r>
      <w:r w:rsidR="002C2515">
        <w:rPr>
          <w:rFonts w:ascii="Arial" w:hAnsi="Arial" w:cs="Arial"/>
          <w:b/>
          <w:bCs/>
          <w:sz w:val="24"/>
          <w:szCs w:val="24"/>
        </w:rPr>
        <w:t>s</w:t>
      </w:r>
      <w:r>
        <w:rPr>
          <w:rFonts w:ascii="Arial" w:hAnsi="Arial" w:cs="Arial"/>
          <w:b/>
          <w:bCs/>
          <w:sz w:val="24"/>
          <w:szCs w:val="24"/>
        </w:rPr>
        <w:t>ustainability</w:t>
      </w:r>
    </w:p>
    <w:bookmarkEnd w:id="16"/>
    <w:p w14:paraId="51C58EA6" w14:textId="3101E3E0" w:rsidR="009470FB" w:rsidRPr="00357448" w:rsidRDefault="009470FB" w:rsidP="009470FB">
      <w:pPr>
        <w:spacing w:line="276" w:lineRule="auto"/>
        <w:jc w:val="both"/>
        <w:rPr>
          <w:rFonts w:ascii="Arial" w:hAnsi="Arial" w:cs="Arial"/>
        </w:rPr>
      </w:pPr>
      <w:r w:rsidRPr="008F4BC4">
        <w:rPr>
          <w:rFonts w:ascii="Arial" w:hAnsi="Arial" w:cs="Arial"/>
          <w:bCs/>
        </w:rPr>
        <w:t xml:space="preserve">This unit is knowledge based and is designed to enhance the learners understanding </w:t>
      </w:r>
      <w:r>
        <w:rPr>
          <w:rFonts w:ascii="Arial" w:hAnsi="Arial" w:cs="Arial"/>
          <w:bCs/>
        </w:rPr>
        <w:t>and importance of environmental good practice and sustainability in engineering and to benefit the engineering communities and society as whole.</w:t>
      </w:r>
      <w:r w:rsidRPr="008F4BC4">
        <w:rPr>
          <w:rFonts w:ascii="Arial" w:hAnsi="Arial" w:cs="Arial"/>
          <w:bCs/>
        </w:rPr>
        <w:t xml:space="preserve"> Evidence for this </w:t>
      </w:r>
      <w:r>
        <w:rPr>
          <w:rFonts w:ascii="Arial" w:hAnsi="Arial" w:cs="Arial"/>
          <w:bCs/>
        </w:rPr>
        <w:t>unit</w:t>
      </w:r>
      <w:r w:rsidRPr="008F4BC4">
        <w:rPr>
          <w:rFonts w:ascii="Arial" w:hAnsi="Arial" w:cs="Arial"/>
          <w:bCs/>
        </w:rPr>
        <w:t xml:space="preserve"> may </w:t>
      </w:r>
      <w:r w:rsidR="00AF3E20">
        <w:rPr>
          <w:rFonts w:ascii="Arial" w:hAnsi="Arial" w:cs="Arial"/>
          <w:bCs/>
        </w:rPr>
        <w:t xml:space="preserve">be </w:t>
      </w:r>
      <w:r w:rsidRPr="008F4BC4">
        <w:rPr>
          <w:rFonts w:ascii="Arial" w:hAnsi="Arial" w:cs="Arial"/>
          <w:bCs/>
        </w:rPr>
        <w:t>obtained from learners</w:t>
      </w:r>
      <w:r>
        <w:rPr>
          <w:rFonts w:ascii="Arial" w:hAnsi="Arial" w:cs="Arial"/>
          <w:bCs/>
        </w:rPr>
        <w:t>’</w:t>
      </w:r>
      <w:r w:rsidRPr="008F4BC4">
        <w:rPr>
          <w:rFonts w:ascii="Arial" w:hAnsi="Arial" w:cs="Arial"/>
          <w:bCs/>
        </w:rPr>
        <w:t xml:space="preserve"> direct exposure through other </w:t>
      </w:r>
      <w:r>
        <w:rPr>
          <w:rFonts w:ascii="Arial" w:hAnsi="Arial" w:cs="Arial"/>
          <w:bCs/>
        </w:rPr>
        <w:t>units</w:t>
      </w:r>
      <w:r w:rsidR="00D64262">
        <w:rPr>
          <w:rFonts w:ascii="Arial" w:hAnsi="Arial" w:cs="Arial"/>
          <w:bCs/>
        </w:rPr>
        <w:t xml:space="preserve"> </w:t>
      </w:r>
      <w:r w:rsidRPr="008F4BC4">
        <w:rPr>
          <w:rFonts w:ascii="Arial" w:hAnsi="Arial" w:cs="Arial"/>
          <w:bCs/>
        </w:rPr>
        <w:t xml:space="preserve">where </w:t>
      </w:r>
      <w:r>
        <w:rPr>
          <w:rFonts w:ascii="Arial" w:hAnsi="Arial" w:cs="Arial"/>
          <w:bCs/>
        </w:rPr>
        <w:t>environment</w:t>
      </w:r>
      <w:r w:rsidR="007C0518">
        <w:rPr>
          <w:rFonts w:ascii="Arial" w:hAnsi="Arial" w:cs="Arial"/>
          <w:bCs/>
        </w:rPr>
        <w:t>al</w:t>
      </w:r>
      <w:r>
        <w:rPr>
          <w:rFonts w:ascii="Arial" w:hAnsi="Arial" w:cs="Arial"/>
          <w:bCs/>
        </w:rPr>
        <w:t xml:space="preserve"> good practice and sustainability knowledge and activities are already incorporated and applied within </w:t>
      </w:r>
      <w:r w:rsidR="007C0518">
        <w:rPr>
          <w:rFonts w:ascii="Arial" w:hAnsi="Arial" w:cs="Arial"/>
          <w:bCs/>
        </w:rPr>
        <w:t>business</w:t>
      </w:r>
      <w:r w:rsidR="007C0518" w:rsidRPr="008F4BC4">
        <w:rPr>
          <w:rFonts w:ascii="Arial" w:hAnsi="Arial" w:cs="Arial"/>
          <w:bCs/>
        </w:rPr>
        <w:t>;</w:t>
      </w:r>
      <w:r w:rsidRPr="008F4BC4">
        <w:rPr>
          <w:rFonts w:ascii="Arial" w:hAnsi="Arial" w:cs="Arial"/>
          <w:bCs/>
        </w:rPr>
        <w:t xml:space="preserve"> learners may be able </w:t>
      </w:r>
      <w:r w:rsidR="00AF3E20">
        <w:rPr>
          <w:rFonts w:ascii="Arial" w:hAnsi="Arial" w:cs="Arial"/>
          <w:bCs/>
        </w:rPr>
        <w:t xml:space="preserve">to </w:t>
      </w:r>
      <w:r w:rsidRPr="008F4BC4">
        <w:rPr>
          <w:rFonts w:ascii="Arial" w:hAnsi="Arial" w:cs="Arial"/>
          <w:bCs/>
        </w:rPr>
        <w:t xml:space="preserve">highlight </w:t>
      </w:r>
      <w:r>
        <w:rPr>
          <w:rFonts w:ascii="Arial" w:hAnsi="Arial" w:cs="Arial"/>
          <w:bCs/>
        </w:rPr>
        <w:t xml:space="preserve">any </w:t>
      </w:r>
      <w:r w:rsidRPr="008F4BC4">
        <w:rPr>
          <w:rFonts w:ascii="Arial" w:hAnsi="Arial" w:cs="Arial"/>
          <w:bCs/>
        </w:rPr>
        <w:t xml:space="preserve">evidence through a </w:t>
      </w:r>
      <w:proofErr w:type="gramStart"/>
      <w:r w:rsidRPr="008F4BC4">
        <w:rPr>
          <w:rFonts w:ascii="Arial" w:hAnsi="Arial" w:cs="Arial"/>
          <w:bCs/>
        </w:rPr>
        <w:t>cross referencing</w:t>
      </w:r>
      <w:proofErr w:type="gramEnd"/>
      <w:r w:rsidRPr="008F4BC4">
        <w:rPr>
          <w:rFonts w:ascii="Arial" w:hAnsi="Arial" w:cs="Arial"/>
          <w:bCs/>
        </w:rPr>
        <w:t xml:space="preserve"> approach in a detailed portfolio of evidence. </w:t>
      </w:r>
      <w:r>
        <w:rPr>
          <w:rFonts w:ascii="Arial" w:hAnsi="Arial" w:cs="Arial"/>
          <w:bCs/>
        </w:rPr>
        <w:t>W</w:t>
      </w:r>
      <w:r w:rsidRPr="008F4BC4">
        <w:rPr>
          <w:rFonts w:ascii="Arial" w:hAnsi="Arial" w:cs="Arial"/>
          <w:bCs/>
        </w:rPr>
        <w:t>here gaps exist, this knowledge may be explicitly taught. Specific subject sessions, self-directed learning materials or other relevant methods may be used, assessment of evidence for these approaches should align to knowledge delivery methodology, for example oral</w:t>
      </w:r>
      <w:r>
        <w:rPr>
          <w:rFonts w:ascii="Arial" w:hAnsi="Arial" w:cs="Arial"/>
          <w:bCs/>
        </w:rPr>
        <w:t xml:space="preserve"> or</w:t>
      </w:r>
      <w:r w:rsidRPr="008F4BC4">
        <w:rPr>
          <w:rFonts w:ascii="Arial" w:hAnsi="Arial" w:cs="Arial"/>
          <w:bCs/>
        </w:rPr>
        <w:t xml:space="preserve"> written questions. Centre produced and marked examination papers may be appropriate. Learners will be expected to confirm their understanding </w:t>
      </w:r>
      <w:r>
        <w:rPr>
          <w:rFonts w:ascii="Arial" w:hAnsi="Arial" w:cs="Arial"/>
          <w:bCs/>
        </w:rPr>
        <w:t xml:space="preserve">as part of their </w:t>
      </w:r>
      <w:r w:rsidRPr="008F4BC4">
        <w:rPr>
          <w:rFonts w:ascii="Arial" w:hAnsi="Arial" w:cs="Arial"/>
          <w:bCs/>
        </w:rPr>
        <w:t xml:space="preserve">recorded evidence.    </w:t>
      </w:r>
    </w:p>
    <w:p w14:paraId="7FE6D52C" w14:textId="2B7472F2" w:rsidR="00A10609" w:rsidRDefault="009470FB" w:rsidP="009470FB">
      <w:pPr>
        <w:pStyle w:val="Heading2"/>
        <w:spacing w:after="120"/>
        <w:jc w:val="both"/>
        <w:rPr>
          <w:lang w:val="en-US"/>
        </w:rPr>
      </w:pPr>
      <w:bookmarkStart w:id="17" w:name="_Toc120105781"/>
      <w:r>
        <w:rPr>
          <w:lang w:val="en-US"/>
        </w:rPr>
        <w:t>Unit</w:t>
      </w:r>
      <w:r w:rsidR="00A10609">
        <w:rPr>
          <w:lang w:val="en-US"/>
        </w:rPr>
        <w:t xml:space="preserve"> </w:t>
      </w:r>
      <w:r w:rsidR="002C2515">
        <w:rPr>
          <w:lang w:val="en-US"/>
        </w:rPr>
        <w:t>SDS 007</w:t>
      </w:r>
      <w:r w:rsidR="00A10609" w:rsidRPr="00A10609">
        <w:rPr>
          <w:rFonts w:asciiTheme="minorHAnsi" w:eastAsiaTheme="minorHAnsi" w:hAnsiTheme="minorHAnsi" w:cstheme="minorBidi"/>
          <w:b w:val="0"/>
          <w:sz w:val="22"/>
          <w:szCs w:val="22"/>
          <w:lang w:val="en-US"/>
        </w:rPr>
        <w:t xml:space="preserve"> </w:t>
      </w:r>
      <w:r w:rsidR="00A10609">
        <w:rPr>
          <w:rFonts w:asciiTheme="minorHAnsi" w:eastAsiaTheme="minorHAnsi" w:hAnsiTheme="minorHAnsi" w:cstheme="minorBidi"/>
          <w:b w:val="0"/>
          <w:sz w:val="22"/>
          <w:szCs w:val="22"/>
          <w:lang w:val="en-US"/>
        </w:rPr>
        <w:t xml:space="preserve">- </w:t>
      </w:r>
      <w:r w:rsidR="00A10609" w:rsidRPr="00A10609">
        <w:rPr>
          <w:lang w:val="en-US"/>
        </w:rPr>
        <w:t xml:space="preserve">Applying </w:t>
      </w:r>
      <w:r w:rsidR="00A10609" w:rsidRPr="00A10609">
        <w:t xml:space="preserve">methods and principles in project </w:t>
      </w:r>
      <w:r w:rsidR="00CE0732" w:rsidRPr="00A10609">
        <w:t>management.</w:t>
      </w:r>
    </w:p>
    <w:p w14:paraId="22FE5996" w14:textId="71901FBA" w:rsidR="009470FB" w:rsidRPr="00CF7FF4" w:rsidRDefault="00A10609" w:rsidP="009470FB">
      <w:pPr>
        <w:pStyle w:val="Heading2"/>
        <w:spacing w:after="120"/>
        <w:jc w:val="both"/>
        <w:rPr>
          <w:lang w:val="en-US"/>
        </w:rPr>
      </w:pPr>
      <w:r>
        <w:rPr>
          <w:lang w:val="en-US"/>
        </w:rPr>
        <w:t xml:space="preserve">Unit SDS 0188 - </w:t>
      </w:r>
      <w:r w:rsidR="009470FB">
        <w:rPr>
          <w:lang w:val="en-US"/>
        </w:rPr>
        <w:t xml:space="preserve">Providing </w:t>
      </w:r>
      <w:r w:rsidR="009470FB" w:rsidRPr="00946060">
        <w:t xml:space="preserve">effective </w:t>
      </w:r>
      <w:bookmarkEnd w:id="17"/>
      <w:r w:rsidR="006E193F" w:rsidRPr="00946060">
        <w:t>leadership.</w:t>
      </w:r>
    </w:p>
    <w:p w14:paraId="12BF9CD2" w14:textId="3835DFFF" w:rsidR="009470FB" w:rsidRDefault="009470FB" w:rsidP="00D52E95">
      <w:pPr>
        <w:spacing w:after="0" w:line="240" w:lineRule="auto"/>
        <w:jc w:val="both"/>
        <w:rPr>
          <w:rFonts w:ascii="Arial" w:hAnsi="Arial" w:cs="Arial"/>
          <w:bCs/>
        </w:rPr>
      </w:pPr>
      <w:r w:rsidRPr="001B5A04">
        <w:rPr>
          <w:rFonts w:ascii="Arial" w:hAnsi="Arial" w:cs="Arial"/>
          <w:bCs/>
        </w:rPr>
        <w:t xml:space="preserve">Tasks and activities </w:t>
      </w:r>
      <w:r w:rsidR="00A10609">
        <w:rPr>
          <w:rFonts w:ascii="Arial" w:hAnsi="Arial" w:cs="Arial"/>
          <w:bCs/>
        </w:rPr>
        <w:t>for these</w:t>
      </w:r>
      <w:r w:rsidR="008F0B61">
        <w:rPr>
          <w:rFonts w:ascii="Arial" w:hAnsi="Arial" w:cs="Arial"/>
          <w:bCs/>
        </w:rPr>
        <w:t xml:space="preserve"> above</w:t>
      </w:r>
      <w:r w:rsidR="00A10609">
        <w:rPr>
          <w:rFonts w:ascii="Arial" w:hAnsi="Arial" w:cs="Arial"/>
          <w:bCs/>
        </w:rPr>
        <w:t xml:space="preserve"> </w:t>
      </w:r>
      <w:r w:rsidR="008E01BD">
        <w:rPr>
          <w:rFonts w:ascii="Arial" w:hAnsi="Arial" w:cs="Arial"/>
          <w:bCs/>
        </w:rPr>
        <w:t xml:space="preserve">units </w:t>
      </w:r>
      <w:r w:rsidRPr="001B5A04">
        <w:rPr>
          <w:rFonts w:ascii="Arial" w:hAnsi="Arial" w:cs="Arial"/>
          <w:bCs/>
        </w:rPr>
        <w:t xml:space="preserve">should correlate with and be in the context of </w:t>
      </w:r>
      <w:r w:rsidR="007C0518">
        <w:rPr>
          <w:rFonts w:ascii="Arial" w:hAnsi="Arial" w:cs="Arial"/>
          <w:bCs/>
        </w:rPr>
        <w:t>engineering and manufacturing</w:t>
      </w:r>
      <w:r w:rsidR="00A10609">
        <w:rPr>
          <w:rFonts w:ascii="Arial" w:hAnsi="Arial" w:cs="Arial"/>
          <w:bCs/>
        </w:rPr>
        <w:t>.</w:t>
      </w:r>
      <w:r w:rsidR="00CE0732">
        <w:rPr>
          <w:rFonts w:ascii="Arial" w:hAnsi="Arial" w:cs="Arial"/>
          <w:bCs/>
        </w:rPr>
        <w:t xml:space="preserve"> </w:t>
      </w:r>
    </w:p>
    <w:p w14:paraId="45728544" w14:textId="0F44F5A7" w:rsidR="00D52E95" w:rsidRDefault="00D52E95" w:rsidP="00D52E95">
      <w:pPr>
        <w:spacing w:after="0" w:line="240" w:lineRule="auto"/>
        <w:jc w:val="both"/>
        <w:rPr>
          <w:rFonts w:ascii="Arial" w:hAnsi="Arial" w:cs="Arial"/>
          <w:bCs/>
        </w:rPr>
      </w:pPr>
    </w:p>
    <w:p w14:paraId="6390C4F5" w14:textId="77777777" w:rsidR="00D52E95" w:rsidRPr="002B7304" w:rsidRDefault="00D52E95" w:rsidP="00D52E95">
      <w:pPr>
        <w:spacing w:after="0" w:line="240" w:lineRule="auto"/>
        <w:jc w:val="both"/>
        <w:rPr>
          <w:rFonts w:ascii="Arial" w:hAnsi="Arial" w:cs="Arial"/>
          <w:bCs/>
        </w:rPr>
      </w:pPr>
    </w:p>
    <w:p w14:paraId="4D11C63C" w14:textId="45F39FAD" w:rsidR="006F381C" w:rsidRPr="006F381C" w:rsidRDefault="009D2A60" w:rsidP="003C0B04">
      <w:pPr>
        <w:pStyle w:val="Heading2"/>
        <w:spacing w:before="0" w:line="240" w:lineRule="auto"/>
        <w:jc w:val="both"/>
      </w:pPr>
      <w:bookmarkStart w:id="18" w:name="_Toc81494708"/>
      <w:bookmarkStart w:id="19" w:name="_Toc117243397"/>
      <w:bookmarkStart w:id="20" w:name="_Toc120105782"/>
      <w:bookmarkStart w:id="21" w:name="_Hlk192072568"/>
      <w:r>
        <w:t xml:space="preserve">2.2 </w:t>
      </w:r>
      <w:r w:rsidR="006F381C" w:rsidRPr="009D2A60">
        <w:t>Occupational expertise and qualification requirements for those assessing or undertaking quality assurance of assessment</w:t>
      </w:r>
      <w:bookmarkEnd w:id="18"/>
      <w:bookmarkEnd w:id="19"/>
      <w:bookmarkEnd w:id="20"/>
    </w:p>
    <w:bookmarkEnd w:id="21"/>
    <w:p w14:paraId="73978C76" w14:textId="77777777" w:rsidR="003C0B04" w:rsidRDefault="003C0B04" w:rsidP="003C0B04">
      <w:pPr>
        <w:spacing w:after="0" w:line="240" w:lineRule="auto"/>
        <w:rPr>
          <w:rFonts w:ascii="Arial" w:hAnsi="Arial" w:cs="Arial"/>
          <w:bCs/>
        </w:rPr>
      </w:pPr>
    </w:p>
    <w:p w14:paraId="47B4A489" w14:textId="19AD1F17" w:rsidR="00AF3E20" w:rsidRPr="005E24F3" w:rsidRDefault="006F381C" w:rsidP="003C0B04">
      <w:pPr>
        <w:spacing w:after="0" w:line="240" w:lineRule="auto"/>
        <w:rPr>
          <w:rFonts w:ascii="Arial" w:hAnsi="Arial" w:cs="Arial"/>
        </w:rPr>
      </w:pPr>
      <w:r w:rsidRPr="005E24F3">
        <w:rPr>
          <w:rFonts w:ascii="Arial" w:hAnsi="Arial" w:cs="Arial"/>
          <w:bCs/>
        </w:rPr>
        <w:t xml:space="preserve">The requirements of assessors, internal verifiers and external verifiers are set out in section </w:t>
      </w:r>
      <w:r w:rsidR="00CF4111" w:rsidRPr="005E24F3">
        <w:rPr>
          <w:rFonts w:ascii="Arial" w:hAnsi="Arial" w:cs="Arial"/>
          <w:bCs/>
        </w:rPr>
        <w:t>2.2</w:t>
      </w:r>
      <w:r w:rsidRPr="005E24F3">
        <w:rPr>
          <w:rFonts w:ascii="Arial" w:hAnsi="Arial" w:cs="Arial"/>
          <w:bCs/>
        </w:rPr>
        <w:t xml:space="preserve"> of the </w:t>
      </w:r>
      <w:r w:rsidR="006C40D0" w:rsidRPr="005E24F3">
        <w:rPr>
          <w:rFonts w:ascii="Arial" w:hAnsi="Arial" w:cs="Arial"/>
          <w:bCs/>
        </w:rPr>
        <w:t>O</w:t>
      </w:r>
      <w:r w:rsidRPr="005E24F3">
        <w:rPr>
          <w:rFonts w:ascii="Arial" w:hAnsi="Arial" w:cs="Arial"/>
          <w:bCs/>
        </w:rPr>
        <w:t xml:space="preserve">verarching Assessment Strategy for </w:t>
      </w:r>
      <w:r w:rsidR="006C40D0" w:rsidRPr="005E24F3">
        <w:rPr>
          <w:rFonts w:ascii="Arial" w:hAnsi="Arial" w:cs="Arial"/>
          <w:bCs/>
        </w:rPr>
        <w:t>c</w:t>
      </w:r>
      <w:r w:rsidRPr="005E24F3">
        <w:rPr>
          <w:rFonts w:ascii="Arial" w:hAnsi="Arial" w:cs="Arial"/>
          <w:bCs/>
        </w:rPr>
        <w:t xml:space="preserve">ompetence-based </w:t>
      </w:r>
      <w:r w:rsidR="006C40D0" w:rsidRPr="005E24F3">
        <w:rPr>
          <w:rFonts w:ascii="Arial" w:hAnsi="Arial" w:cs="Arial"/>
          <w:bCs/>
        </w:rPr>
        <w:t>q</w:t>
      </w:r>
      <w:r w:rsidRPr="005E24F3">
        <w:rPr>
          <w:rFonts w:ascii="Arial" w:hAnsi="Arial" w:cs="Arial"/>
          <w:bCs/>
        </w:rPr>
        <w:t xml:space="preserve">ualifications.  </w:t>
      </w:r>
      <w:r w:rsidRPr="00074F77">
        <w:rPr>
          <w:rFonts w:ascii="Arial" w:hAnsi="Arial" w:cs="Arial"/>
          <w:bCs/>
        </w:rPr>
        <w:t xml:space="preserve">There are no further requirements specific to this </w:t>
      </w:r>
      <w:r w:rsidR="008D4907" w:rsidRPr="00074F77">
        <w:rPr>
          <w:rFonts w:ascii="Arial" w:hAnsi="Arial" w:cs="Arial"/>
          <w:bCs/>
        </w:rPr>
        <w:t>qualification, however the table in Appendix 2 provides further expansion and guidance on those requirements</w:t>
      </w:r>
      <w:r w:rsidR="0000664F">
        <w:rPr>
          <w:rFonts w:ascii="Arial" w:hAnsi="Arial" w:cs="Arial"/>
          <w:bCs/>
        </w:rPr>
        <w:t>.</w:t>
      </w:r>
      <w:r w:rsidR="002C753A" w:rsidRPr="005E24F3">
        <w:rPr>
          <w:rFonts w:ascii="Arial" w:hAnsi="Arial" w:cs="Arial"/>
          <w:bCs/>
        </w:rPr>
        <w:t xml:space="preserve"> </w:t>
      </w:r>
      <w:r w:rsidR="00AF3E20" w:rsidRPr="005E24F3">
        <w:rPr>
          <w:rFonts w:ascii="Arial" w:hAnsi="Arial" w:cs="Arial"/>
          <w:bCs/>
        </w:rPr>
        <w:t xml:space="preserve">However, </w:t>
      </w:r>
      <w:r w:rsidR="00AF3E20" w:rsidRPr="005E24F3">
        <w:rPr>
          <w:rFonts w:ascii="Arial" w:hAnsi="Arial" w:cs="Arial"/>
        </w:rPr>
        <w:t xml:space="preserve">awarding bodies should consider whether there is a requirement in some cases for more than one assessor to be used in a single unit being undertaken by a </w:t>
      </w:r>
      <w:r w:rsidR="00AF3E20" w:rsidRPr="00B921C5">
        <w:rPr>
          <w:rFonts w:ascii="Arial" w:hAnsi="Arial" w:cs="Arial"/>
        </w:rPr>
        <w:t>learner</w:t>
      </w:r>
      <w:r w:rsidR="00AF3E20" w:rsidRPr="005E24F3">
        <w:rPr>
          <w:rFonts w:ascii="Arial" w:hAnsi="Arial" w:cs="Arial"/>
        </w:rPr>
        <w:t xml:space="preserve"> dependent on the context in which the unit is undertaken. For example, </w:t>
      </w:r>
      <w:r w:rsidR="00AF3E20" w:rsidRPr="00B921C5">
        <w:rPr>
          <w:rFonts w:ascii="Arial" w:hAnsi="Arial" w:cs="Arial"/>
        </w:rPr>
        <w:t xml:space="preserve">a </w:t>
      </w:r>
      <w:r w:rsidR="00B921C5" w:rsidRPr="00B921C5">
        <w:rPr>
          <w:rFonts w:ascii="Arial" w:hAnsi="Arial" w:cs="Arial"/>
        </w:rPr>
        <w:t>l</w:t>
      </w:r>
      <w:r w:rsidR="00B921C5">
        <w:rPr>
          <w:rFonts w:ascii="Arial" w:hAnsi="Arial" w:cs="Arial"/>
        </w:rPr>
        <w:t>earner</w:t>
      </w:r>
      <w:r w:rsidR="00AF3E20" w:rsidRPr="005E24F3">
        <w:rPr>
          <w:rFonts w:ascii="Arial" w:hAnsi="Arial" w:cs="Arial"/>
        </w:rPr>
        <w:t xml:space="preserve"> undertaking the unit SDS 0326 Repair engineering assets may generate evidence that relates to both mechanical and electrical asset repairs, in this circumstance there may be a need for a competent assessor in mechanical repair and a competent assessor in electrical repair to be engaged in the assessment process. </w:t>
      </w:r>
    </w:p>
    <w:p w14:paraId="431AEC6A" w14:textId="2C6BBAFC" w:rsidR="008F3DEF" w:rsidRPr="005A0040" w:rsidRDefault="005A0040" w:rsidP="007C0518">
      <w:pPr>
        <w:spacing w:after="0" w:line="276" w:lineRule="auto"/>
        <w:jc w:val="both"/>
      </w:pPr>
      <w:bookmarkStart w:id="22" w:name="_Hlk117608411"/>
      <w:bookmarkStart w:id="23" w:name="_Hlk119919332"/>
      <w:r w:rsidRPr="007C0518">
        <w:rPr>
          <w:rFonts w:ascii="Arial" w:hAnsi="Arial" w:cs="Arial"/>
          <w:color w:val="202124"/>
          <w:shd w:val="clear" w:color="auto" w:fill="FFFFFF"/>
        </w:rPr>
        <w:t xml:space="preserve"> </w:t>
      </w:r>
      <w:bookmarkEnd w:id="22"/>
    </w:p>
    <w:p w14:paraId="4DDBEB19" w14:textId="3973C1C9" w:rsidR="00C46DDC" w:rsidRPr="007F608A" w:rsidRDefault="007F608A" w:rsidP="00842E2B">
      <w:pPr>
        <w:pStyle w:val="Heading2"/>
        <w:spacing w:after="120"/>
        <w:jc w:val="both"/>
      </w:pPr>
      <w:bookmarkStart w:id="24" w:name="_Toc117243405"/>
      <w:bookmarkStart w:id="25" w:name="_Toc120105783"/>
      <w:bookmarkEnd w:id="23"/>
      <w:r>
        <w:lastRenderedPageBreak/>
        <w:t>3</w:t>
      </w:r>
      <w:r w:rsidR="007C0518">
        <w:t>.</w:t>
      </w:r>
      <w:r>
        <w:t xml:space="preserve"> Guidance on meta-skills</w:t>
      </w:r>
      <w:bookmarkEnd w:id="24"/>
      <w:bookmarkEnd w:id="25"/>
      <w:r>
        <w:t xml:space="preserve"> </w:t>
      </w:r>
    </w:p>
    <w:p w14:paraId="7193E3CA" w14:textId="2D0C03B9" w:rsidR="007F608A" w:rsidRPr="0058658E" w:rsidRDefault="007F608A" w:rsidP="00842E2B">
      <w:pPr>
        <w:spacing w:line="276" w:lineRule="auto"/>
        <w:jc w:val="both"/>
        <w:rPr>
          <w:rFonts w:ascii="Arial" w:hAnsi="Arial" w:cs="Arial"/>
          <w:bCs/>
        </w:rPr>
      </w:pPr>
      <w:r>
        <w:rPr>
          <w:rFonts w:ascii="Arial" w:hAnsi="Arial" w:cs="Arial"/>
          <w:bCs/>
        </w:rPr>
        <w:t>The</w:t>
      </w:r>
      <w:r w:rsidRPr="00CF0BF3">
        <w:rPr>
          <w:rFonts w:ascii="Arial" w:hAnsi="Arial" w:cs="Arial"/>
          <w:bCs/>
        </w:rPr>
        <w:t xml:space="preserve"> </w:t>
      </w:r>
      <w:r w:rsidR="00682F13">
        <w:rPr>
          <w:rFonts w:ascii="Arial" w:hAnsi="Arial" w:cs="Arial"/>
          <w:bCs/>
        </w:rPr>
        <w:t>O</w:t>
      </w:r>
      <w:r w:rsidRPr="00CF0BF3">
        <w:rPr>
          <w:rFonts w:ascii="Arial" w:hAnsi="Arial" w:cs="Arial"/>
          <w:bCs/>
        </w:rPr>
        <w:t xml:space="preserve">verarching Assessment Strategy for </w:t>
      </w:r>
      <w:r w:rsidR="00682F13">
        <w:rPr>
          <w:rFonts w:ascii="Arial" w:hAnsi="Arial" w:cs="Arial"/>
          <w:bCs/>
        </w:rPr>
        <w:t>c</w:t>
      </w:r>
      <w:r w:rsidRPr="00CF0BF3">
        <w:rPr>
          <w:rFonts w:ascii="Arial" w:hAnsi="Arial" w:cs="Arial"/>
          <w:bCs/>
        </w:rPr>
        <w:t xml:space="preserve">ompetence-based </w:t>
      </w:r>
      <w:r w:rsidR="00682F13">
        <w:rPr>
          <w:rFonts w:ascii="Arial" w:hAnsi="Arial" w:cs="Arial"/>
          <w:bCs/>
        </w:rPr>
        <w:t>q</w:t>
      </w:r>
      <w:r w:rsidRPr="00CF0BF3">
        <w:rPr>
          <w:rFonts w:ascii="Arial" w:hAnsi="Arial" w:cs="Arial"/>
          <w:bCs/>
        </w:rPr>
        <w:t xml:space="preserve">ualifications </w:t>
      </w:r>
      <w:r>
        <w:rPr>
          <w:rFonts w:ascii="Arial" w:hAnsi="Arial" w:cs="Arial"/>
          <w:bCs/>
        </w:rPr>
        <w:t>introduces meta-skills</w:t>
      </w:r>
      <w:r w:rsidRPr="00CF0BF3">
        <w:rPr>
          <w:rFonts w:ascii="Arial" w:hAnsi="Arial" w:cs="Arial"/>
          <w:bCs/>
        </w:rPr>
        <w:t xml:space="preserve">. </w:t>
      </w:r>
      <w:r w:rsidR="00C46DDC" w:rsidRPr="00C46DDC">
        <w:rPr>
          <w:rFonts w:ascii="Arial" w:hAnsi="Arial" w:cs="Arial"/>
          <w:bCs/>
        </w:rPr>
        <w:t>Meta-skills sit alongside and complement technical knowledge, skills</w:t>
      </w:r>
      <w:r w:rsidR="007C0518">
        <w:rPr>
          <w:rFonts w:ascii="Arial" w:hAnsi="Arial" w:cs="Arial"/>
          <w:bCs/>
        </w:rPr>
        <w:t>,</w:t>
      </w:r>
      <w:r w:rsidR="00C46DDC" w:rsidRPr="00C46DDC">
        <w:rPr>
          <w:rFonts w:ascii="Arial" w:hAnsi="Arial" w:cs="Arial"/>
          <w:bCs/>
        </w:rPr>
        <w:t xml:space="preserve"> behaviours</w:t>
      </w:r>
      <w:r w:rsidR="007C0518">
        <w:rPr>
          <w:rFonts w:ascii="Arial" w:hAnsi="Arial" w:cs="Arial"/>
          <w:bCs/>
        </w:rPr>
        <w:t xml:space="preserve"> and competence. </w:t>
      </w:r>
      <w:r w:rsidR="00C46DDC" w:rsidRPr="00C46DDC">
        <w:rPr>
          <w:rFonts w:ascii="Arial" w:hAnsi="Arial" w:cs="Arial"/>
          <w:bCs/>
        </w:rPr>
        <w:t>As technology, society and the way we work change</w:t>
      </w:r>
      <w:r w:rsidR="00D52F17">
        <w:rPr>
          <w:rFonts w:ascii="Arial" w:hAnsi="Arial" w:cs="Arial"/>
          <w:bCs/>
        </w:rPr>
        <w:t>s</w:t>
      </w:r>
      <w:r w:rsidR="00C46DDC" w:rsidRPr="00C46DDC">
        <w:rPr>
          <w:rFonts w:ascii="Arial" w:hAnsi="Arial" w:cs="Arial"/>
          <w:bCs/>
        </w:rPr>
        <w:t xml:space="preserve"> at an ever-increasing pace, meta-skills are the over-arching and future-focused attributes that enable other skills to be developed through consideration, reflection and implementation.</w:t>
      </w:r>
      <w:r w:rsidR="00C46DDC">
        <w:rPr>
          <w:rFonts w:ascii="Arial" w:hAnsi="Arial" w:cs="Arial"/>
          <w:bCs/>
        </w:rPr>
        <w:t xml:space="preserve"> </w:t>
      </w:r>
      <w:r w:rsidR="00C46DDC" w:rsidRPr="00C46DDC">
        <w:rPr>
          <w:rFonts w:ascii="Arial" w:hAnsi="Arial" w:cs="Arial"/>
          <w:bCs/>
        </w:rPr>
        <w:t xml:space="preserve">Meta-skills support improved performance and productivity, greater adaptability and resilience to change. For learners, meta-skills are a critical asset, supporting their ability to cope and excel in the face of </w:t>
      </w:r>
      <w:r w:rsidR="00FC69AB" w:rsidRPr="00C46DDC">
        <w:rPr>
          <w:rFonts w:ascii="Arial" w:hAnsi="Arial" w:cs="Arial"/>
          <w:bCs/>
        </w:rPr>
        <w:t>change</w:t>
      </w:r>
      <w:r w:rsidR="00FC69AB">
        <w:rPr>
          <w:rFonts w:ascii="Arial" w:hAnsi="Arial" w:cs="Arial"/>
          <w:bCs/>
        </w:rPr>
        <w:t>.</w:t>
      </w:r>
      <w:r w:rsidR="00FC69AB" w:rsidRPr="00DD4274">
        <w:rPr>
          <w:rFonts w:ascii="Arial" w:hAnsi="Arial" w:cs="Arial"/>
          <w:bCs/>
        </w:rPr>
        <w:t xml:space="preserve"> There</w:t>
      </w:r>
      <w:r w:rsidR="00DD4274" w:rsidRPr="00DD4274">
        <w:rPr>
          <w:rFonts w:ascii="Arial" w:hAnsi="Arial" w:cs="Arial"/>
          <w:bCs/>
        </w:rPr>
        <w:t xml:space="preserve"> are three categories, each with four meta-skills. </w:t>
      </w:r>
      <w:r w:rsidR="00DD4274">
        <w:rPr>
          <w:rFonts w:ascii="Arial" w:hAnsi="Arial" w:cs="Arial"/>
          <w:bCs/>
        </w:rPr>
        <w:t>(See Overarching Assessment Strategy</w:t>
      </w:r>
      <w:r w:rsidR="00682F13">
        <w:rPr>
          <w:rFonts w:ascii="Arial" w:hAnsi="Arial" w:cs="Arial"/>
          <w:bCs/>
        </w:rPr>
        <w:t xml:space="preserve"> for competence-based qualifications</w:t>
      </w:r>
      <w:r w:rsidR="00DD4274">
        <w:rPr>
          <w:rFonts w:ascii="Arial" w:hAnsi="Arial" w:cs="Arial"/>
          <w:bCs/>
        </w:rPr>
        <w:t>)</w:t>
      </w:r>
    </w:p>
    <w:p w14:paraId="401325A0" w14:textId="2A44D616" w:rsidR="00441F8F" w:rsidRDefault="00441F8F" w:rsidP="00842E2B">
      <w:pPr>
        <w:spacing w:line="276" w:lineRule="auto"/>
        <w:jc w:val="both"/>
        <w:rPr>
          <w:rFonts w:ascii="Arial" w:hAnsi="Arial" w:cs="Arial"/>
          <w:bCs/>
        </w:rPr>
      </w:pPr>
      <w:r w:rsidRPr="0045336E">
        <w:rPr>
          <w:rFonts w:ascii="Arial" w:hAnsi="Arial" w:cs="Arial"/>
          <w:bCs/>
        </w:rPr>
        <w:t>The following meta-skills examples</w:t>
      </w:r>
      <w:r w:rsidR="00C86545">
        <w:rPr>
          <w:rFonts w:ascii="Arial" w:hAnsi="Arial" w:cs="Arial"/>
          <w:bCs/>
        </w:rPr>
        <w:t xml:space="preserve"> and profile </w:t>
      </w:r>
      <w:r w:rsidR="00A9404E">
        <w:rPr>
          <w:rFonts w:ascii="Arial" w:hAnsi="Arial" w:cs="Arial"/>
          <w:bCs/>
        </w:rPr>
        <w:t xml:space="preserve">below </w:t>
      </w:r>
      <w:r w:rsidR="0058658E" w:rsidRPr="0045336E">
        <w:rPr>
          <w:rFonts w:ascii="Arial" w:hAnsi="Arial" w:cs="Arial"/>
          <w:bCs/>
        </w:rPr>
        <w:t>were</w:t>
      </w:r>
      <w:r w:rsidRPr="0045336E">
        <w:rPr>
          <w:rFonts w:ascii="Arial" w:hAnsi="Arial" w:cs="Arial"/>
          <w:bCs/>
        </w:rPr>
        <w:t xml:space="preserve"> identified by employees working in engineering roles</w:t>
      </w:r>
      <w:r w:rsidR="0058658E" w:rsidRPr="0045336E">
        <w:rPr>
          <w:rFonts w:ascii="Arial" w:hAnsi="Arial" w:cs="Arial"/>
          <w:bCs/>
        </w:rPr>
        <w:t xml:space="preserve">. These examples are not exhaustive, merely provided to help learners to understand the meaning of meta-skills in </w:t>
      </w:r>
      <w:r w:rsidR="006B4162" w:rsidRPr="0045336E">
        <w:rPr>
          <w:rFonts w:ascii="Arial" w:hAnsi="Arial" w:cs="Arial"/>
          <w:bCs/>
        </w:rPr>
        <w:t xml:space="preserve">an </w:t>
      </w:r>
      <w:r w:rsidR="0058658E" w:rsidRPr="0045336E">
        <w:rPr>
          <w:rFonts w:ascii="Arial" w:hAnsi="Arial" w:cs="Arial"/>
          <w:bCs/>
        </w:rPr>
        <w:t>engineering context.</w:t>
      </w:r>
      <w:r w:rsidR="0058658E">
        <w:rPr>
          <w:rFonts w:ascii="Arial" w:hAnsi="Arial" w:cs="Arial"/>
          <w:bCs/>
        </w:rPr>
        <w:t xml:space="preserve"> </w:t>
      </w:r>
    </w:p>
    <w:p w14:paraId="73AD6AE5" w14:textId="7E39B0BB" w:rsidR="00C86545" w:rsidRPr="00655234" w:rsidRDefault="00C86545" w:rsidP="00C86545">
      <w:pPr>
        <w:textAlignment w:val="baseline"/>
        <w:rPr>
          <w:rFonts w:ascii="Segoe UI" w:hAnsi="Segoe UI" w:cs="Segoe UI"/>
          <w:sz w:val="18"/>
          <w:szCs w:val="18"/>
          <w:lang w:eastAsia="en-GB"/>
        </w:rPr>
      </w:pPr>
      <w:r w:rsidRPr="00655234">
        <w:rPr>
          <w:rFonts w:ascii="Arial" w:hAnsi="Arial" w:cs="Arial"/>
          <w:b/>
          <w:bCs/>
          <w:color w:val="006072"/>
          <w:lang w:val="en-US" w:eastAsia="en-GB"/>
        </w:rPr>
        <w:t>Managing Yourself</w:t>
      </w:r>
      <w:r w:rsidRPr="00655234">
        <w:rPr>
          <w:rFonts w:ascii="Arial" w:hAnsi="Arial" w:cs="Arial"/>
          <w:color w:val="006072"/>
          <w:lang w:eastAsia="en-GB"/>
        </w:rPr>
        <w:t> </w:t>
      </w:r>
    </w:p>
    <w:p w14:paraId="5EEABC3D" w14:textId="77777777" w:rsidR="00C86545" w:rsidRPr="00655234" w:rsidRDefault="00C86545" w:rsidP="00C86545">
      <w:pPr>
        <w:textAlignment w:val="baseline"/>
        <w:rPr>
          <w:rFonts w:ascii="Segoe UI" w:hAnsi="Segoe UI" w:cs="Segoe UI"/>
          <w:sz w:val="18"/>
          <w:szCs w:val="18"/>
          <w:lang w:eastAsia="en-GB"/>
        </w:rPr>
      </w:pPr>
      <w:r w:rsidRPr="00655234">
        <w:rPr>
          <w:rFonts w:ascii="Arial" w:hAnsi="Arial" w:cs="Arial"/>
          <w:color w:val="25303B"/>
          <w:lang w:val="en-US" w:eastAsia="en-GB"/>
        </w:rPr>
        <w:t xml:space="preserve">A clear </w:t>
      </w:r>
      <w:r w:rsidRPr="00655234">
        <w:rPr>
          <w:rFonts w:ascii="Arial" w:hAnsi="Arial" w:cs="Arial"/>
          <w:b/>
          <w:bCs/>
          <w:color w:val="25303B"/>
          <w:lang w:val="en-US" w:eastAsia="en-GB"/>
        </w:rPr>
        <w:t xml:space="preserve">focus </w:t>
      </w:r>
      <w:r w:rsidRPr="00655234">
        <w:rPr>
          <w:rFonts w:ascii="Arial" w:hAnsi="Arial" w:cs="Arial"/>
          <w:color w:val="25303B"/>
          <w:lang w:val="en-US" w:eastAsia="en-GB"/>
        </w:rPr>
        <w:t xml:space="preserve">is required to work carefully and correctly and to avoid distraction, it’s essential for complex tasks, and critical when using dangerous equipment or machinery and when fault finding and </w:t>
      </w:r>
      <w:proofErr w:type="spellStart"/>
      <w:r w:rsidRPr="00655234">
        <w:rPr>
          <w:rFonts w:ascii="Arial" w:hAnsi="Arial" w:cs="Arial"/>
          <w:color w:val="25303B"/>
          <w:lang w:val="en-US" w:eastAsia="en-GB"/>
        </w:rPr>
        <w:t>analysing</w:t>
      </w:r>
      <w:proofErr w:type="spellEnd"/>
      <w:r w:rsidRPr="00655234">
        <w:rPr>
          <w:rFonts w:ascii="Arial" w:hAnsi="Arial" w:cs="Arial"/>
          <w:color w:val="25303B"/>
          <w:lang w:val="en-US" w:eastAsia="en-GB"/>
        </w:rPr>
        <w:t xml:space="preserve"> data; </w:t>
      </w:r>
      <w:r w:rsidRPr="00655234">
        <w:rPr>
          <w:rFonts w:ascii="Arial" w:hAnsi="Arial" w:cs="Arial"/>
          <w:b/>
          <w:bCs/>
          <w:color w:val="25303B"/>
          <w:lang w:val="en-US" w:eastAsia="en-GB"/>
        </w:rPr>
        <w:t>integrity</w:t>
      </w:r>
      <w:r w:rsidRPr="00655234">
        <w:rPr>
          <w:rFonts w:ascii="Arial" w:hAnsi="Arial" w:cs="Arial"/>
          <w:color w:val="25303B"/>
          <w:lang w:val="en-US" w:eastAsia="en-GB"/>
        </w:rPr>
        <w:t xml:space="preserve">, being honest and </w:t>
      </w:r>
      <w:r w:rsidRPr="0045336E">
        <w:rPr>
          <w:rFonts w:ascii="Arial" w:hAnsi="Arial" w:cs="Arial"/>
          <w:color w:val="25303B"/>
          <w:lang w:val="en-US" w:eastAsia="en-GB"/>
        </w:rPr>
        <w:t>trustworthy, true to your work and company values is essential for open and honest analysis when challenging an issue with colleagues or managers and dealing with customers</w:t>
      </w:r>
      <w:r w:rsidRPr="00655234">
        <w:rPr>
          <w:rFonts w:ascii="Arial" w:hAnsi="Arial" w:cs="Arial"/>
          <w:color w:val="25303B"/>
          <w:lang w:val="en-US" w:eastAsia="en-GB"/>
        </w:rPr>
        <w:t xml:space="preserve">; </w:t>
      </w:r>
      <w:r w:rsidRPr="00655234">
        <w:rPr>
          <w:rFonts w:ascii="Arial" w:hAnsi="Arial" w:cs="Arial"/>
          <w:b/>
          <w:bCs/>
          <w:color w:val="25303B"/>
          <w:lang w:val="en-US" w:eastAsia="en-GB"/>
        </w:rPr>
        <w:t xml:space="preserve">Initiative, </w:t>
      </w:r>
      <w:r w:rsidRPr="00655234">
        <w:rPr>
          <w:rFonts w:ascii="Arial" w:hAnsi="Arial" w:cs="Arial"/>
          <w:color w:val="25303B"/>
          <w:lang w:val="en-US" w:eastAsia="en-GB"/>
        </w:rPr>
        <w:t>thinking for yourself and working proactively within the limits of your own responsibility and competence is key when looking to deliver improvements; and when an unexpected problem or challenge arises as well as taking forward self-development and learning.</w:t>
      </w:r>
      <w:r w:rsidRPr="00655234">
        <w:rPr>
          <w:rFonts w:ascii="Arial" w:hAnsi="Arial" w:cs="Arial"/>
          <w:color w:val="25303B"/>
          <w:lang w:eastAsia="en-GB"/>
        </w:rPr>
        <w:t> </w:t>
      </w:r>
    </w:p>
    <w:p w14:paraId="50A907B3" w14:textId="4DBCFFBE" w:rsidR="00C86545" w:rsidRPr="00655234" w:rsidRDefault="00C86545" w:rsidP="00C86545">
      <w:pPr>
        <w:textAlignment w:val="baseline"/>
        <w:rPr>
          <w:rFonts w:ascii="Segoe UI" w:hAnsi="Segoe UI" w:cs="Segoe UI"/>
          <w:sz w:val="18"/>
          <w:szCs w:val="18"/>
          <w:lang w:eastAsia="en-GB"/>
        </w:rPr>
      </w:pPr>
      <w:r w:rsidRPr="00655234">
        <w:rPr>
          <w:rFonts w:ascii="Arial" w:hAnsi="Arial" w:cs="Arial"/>
          <w:color w:val="25303B"/>
          <w:lang w:eastAsia="en-GB"/>
        </w:rPr>
        <w:t> </w:t>
      </w:r>
      <w:r w:rsidRPr="00655234">
        <w:rPr>
          <w:rFonts w:ascii="Arial" w:hAnsi="Arial" w:cs="Arial"/>
          <w:b/>
          <w:bCs/>
          <w:color w:val="006072"/>
          <w:lang w:val="en-US" w:eastAsia="en-GB"/>
        </w:rPr>
        <w:t>Connecting with Others</w:t>
      </w:r>
      <w:r w:rsidRPr="00655234">
        <w:rPr>
          <w:rFonts w:ascii="Arial" w:hAnsi="Arial" w:cs="Arial"/>
          <w:color w:val="006072"/>
          <w:lang w:eastAsia="en-GB"/>
        </w:rPr>
        <w:t> </w:t>
      </w:r>
    </w:p>
    <w:p w14:paraId="7F9949D8" w14:textId="64EFA24E" w:rsidR="00C86545" w:rsidRPr="002F424F" w:rsidRDefault="00C86545" w:rsidP="00C86545">
      <w:pPr>
        <w:textAlignment w:val="baseline"/>
        <w:rPr>
          <w:rFonts w:ascii="Segoe UI" w:hAnsi="Segoe UI" w:cs="Segoe UI"/>
          <w:color w:val="000000" w:themeColor="text1"/>
          <w:sz w:val="18"/>
          <w:szCs w:val="18"/>
          <w:lang w:eastAsia="en-GB"/>
        </w:rPr>
      </w:pPr>
      <w:r w:rsidRPr="002F424F">
        <w:rPr>
          <w:rFonts w:ascii="Arial" w:hAnsi="Arial" w:cs="Arial"/>
          <w:color w:val="000000" w:themeColor="text1"/>
          <w:lang w:val="en-US" w:eastAsia="en-GB"/>
        </w:rPr>
        <w:t xml:space="preserve">Clear and concise </w:t>
      </w:r>
      <w:r w:rsidRPr="002F424F">
        <w:rPr>
          <w:rFonts w:ascii="Arial" w:hAnsi="Arial" w:cs="Arial"/>
          <w:b/>
          <w:bCs/>
          <w:color w:val="000000" w:themeColor="text1"/>
          <w:lang w:val="en-US" w:eastAsia="en-GB"/>
        </w:rPr>
        <w:t xml:space="preserve">communication </w:t>
      </w:r>
      <w:r w:rsidRPr="002F424F">
        <w:rPr>
          <w:rFonts w:ascii="Arial" w:hAnsi="Arial" w:cs="Arial"/>
          <w:color w:val="000000" w:themeColor="text1"/>
          <w:lang w:val="en-US" w:eastAsia="en-GB"/>
        </w:rPr>
        <w:t xml:space="preserve">is crucial for safety and effective delivery of service and products to customer and colleagues, being able to share information and instructions with others but also listening and relationship building with colleagues and stakeholders; </w:t>
      </w:r>
      <w:r w:rsidRPr="002F424F">
        <w:rPr>
          <w:rFonts w:ascii="Arial" w:hAnsi="Arial" w:cs="Arial"/>
          <w:b/>
          <w:bCs/>
          <w:color w:val="000000" w:themeColor="text1"/>
          <w:lang w:val="en-US" w:eastAsia="en-GB"/>
        </w:rPr>
        <w:t>collaboration</w:t>
      </w:r>
      <w:r w:rsidRPr="002F424F">
        <w:rPr>
          <w:rFonts w:ascii="Arial" w:hAnsi="Arial" w:cs="Arial"/>
          <w:color w:val="000000" w:themeColor="text1"/>
          <w:lang w:val="en-US" w:eastAsia="en-GB"/>
        </w:rPr>
        <w:t>, working effectively with colleagues to get a job done to standard and on time is vital for complex tasks or when faced with technical problems as well as when working with customers and contractors</w:t>
      </w:r>
      <w:r w:rsidR="002F424F">
        <w:rPr>
          <w:rFonts w:ascii="Arial" w:hAnsi="Arial" w:cs="Arial"/>
          <w:color w:val="000000" w:themeColor="text1"/>
          <w:lang w:val="en-US" w:eastAsia="en-GB"/>
        </w:rPr>
        <w:t xml:space="preserve"> </w:t>
      </w:r>
      <w:r w:rsidR="00CB3071">
        <w:rPr>
          <w:rFonts w:ascii="Arial" w:hAnsi="Arial" w:cs="Arial"/>
          <w:color w:val="000000" w:themeColor="text1"/>
          <w:lang w:val="en-US" w:eastAsia="en-GB"/>
        </w:rPr>
        <w:t>and</w:t>
      </w:r>
      <w:r w:rsidRPr="002F424F">
        <w:rPr>
          <w:rFonts w:ascii="Arial" w:hAnsi="Arial" w:cs="Arial"/>
          <w:color w:val="000000" w:themeColor="text1"/>
          <w:lang w:val="en-US" w:eastAsia="en-GB"/>
        </w:rPr>
        <w:t xml:space="preserve"> working collaboratively through helping and supporting newer</w:t>
      </w:r>
      <w:r w:rsidRPr="002F424F">
        <w:rPr>
          <w:rFonts w:ascii="Arial" w:hAnsi="Arial" w:cs="Arial"/>
          <w:b/>
          <w:bCs/>
          <w:color w:val="000000" w:themeColor="text1"/>
          <w:lang w:val="en-US" w:eastAsia="en-GB"/>
        </w:rPr>
        <w:t xml:space="preserve"> </w:t>
      </w:r>
      <w:r w:rsidRPr="002F424F">
        <w:rPr>
          <w:rFonts w:ascii="Arial" w:hAnsi="Arial" w:cs="Arial"/>
          <w:color w:val="000000" w:themeColor="text1"/>
          <w:lang w:val="en-US" w:eastAsia="en-GB"/>
        </w:rPr>
        <w:t>colleagues or apprentices and by taking responsibility for tasks where appropriate.</w:t>
      </w:r>
    </w:p>
    <w:p w14:paraId="0A059617" w14:textId="16862A49" w:rsidR="00C86545" w:rsidRPr="00655234" w:rsidRDefault="00C86545" w:rsidP="00C86545">
      <w:pPr>
        <w:textAlignment w:val="baseline"/>
        <w:rPr>
          <w:rFonts w:ascii="Segoe UI" w:hAnsi="Segoe UI" w:cs="Segoe UI"/>
          <w:sz w:val="18"/>
          <w:szCs w:val="18"/>
          <w:lang w:eastAsia="en-GB"/>
        </w:rPr>
      </w:pPr>
      <w:r w:rsidRPr="00655234">
        <w:rPr>
          <w:rFonts w:ascii="Arial" w:hAnsi="Arial" w:cs="Arial"/>
          <w:color w:val="006072"/>
          <w:lang w:eastAsia="en-GB"/>
        </w:rPr>
        <w:t> </w:t>
      </w:r>
      <w:r w:rsidRPr="00655234">
        <w:rPr>
          <w:rFonts w:ascii="Arial" w:hAnsi="Arial" w:cs="Arial"/>
          <w:b/>
          <w:bCs/>
          <w:color w:val="006072"/>
          <w:lang w:val="en-US" w:eastAsia="en-GB"/>
        </w:rPr>
        <w:t>Interacting with Change</w:t>
      </w:r>
      <w:r w:rsidRPr="00655234">
        <w:rPr>
          <w:rFonts w:ascii="Arial" w:hAnsi="Arial" w:cs="Arial"/>
          <w:color w:val="006072"/>
          <w:lang w:eastAsia="en-GB"/>
        </w:rPr>
        <w:t> </w:t>
      </w:r>
    </w:p>
    <w:p w14:paraId="085CFE37" w14:textId="017537B3" w:rsidR="00A004D8" w:rsidRDefault="00C86545" w:rsidP="00A004D8">
      <w:pPr>
        <w:spacing w:line="276" w:lineRule="auto"/>
        <w:jc w:val="both"/>
        <w:rPr>
          <w:rFonts w:ascii="Arial" w:hAnsi="Arial" w:cs="Arial"/>
          <w:bCs/>
        </w:rPr>
      </w:pPr>
      <w:r w:rsidRPr="00655234">
        <w:rPr>
          <w:rFonts w:ascii="Arial" w:hAnsi="Arial" w:cs="Arial"/>
          <w:color w:val="25303B"/>
          <w:lang w:val="en-US"/>
        </w:rPr>
        <w:t xml:space="preserve">A keen sense of </w:t>
      </w:r>
      <w:r w:rsidRPr="00655234">
        <w:rPr>
          <w:rFonts w:ascii="Arial" w:hAnsi="Arial" w:cs="Arial"/>
          <w:b/>
          <w:bCs/>
          <w:color w:val="25303B"/>
          <w:lang w:val="en-US"/>
        </w:rPr>
        <w:t xml:space="preserve">curiosity </w:t>
      </w:r>
      <w:r w:rsidRPr="00655234">
        <w:rPr>
          <w:rFonts w:ascii="Arial" w:hAnsi="Arial" w:cs="Arial"/>
          <w:color w:val="25303B"/>
          <w:lang w:val="en-US"/>
        </w:rPr>
        <w:t xml:space="preserve">is a critical asset when learning new things </w:t>
      </w:r>
      <w:r w:rsidR="00837478">
        <w:rPr>
          <w:rFonts w:ascii="Arial" w:hAnsi="Arial" w:cs="Arial"/>
          <w:color w:val="25303B"/>
          <w:lang w:val="en-US"/>
        </w:rPr>
        <w:t xml:space="preserve">and </w:t>
      </w:r>
      <w:r w:rsidRPr="00655234">
        <w:rPr>
          <w:rFonts w:ascii="Arial" w:hAnsi="Arial" w:cs="Arial"/>
          <w:color w:val="25303B"/>
          <w:lang w:val="en-US"/>
        </w:rPr>
        <w:t>better ways of doing things and important for career development as well as when problem solving;</w:t>
      </w:r>
      <w:r w:rsidRPr="00655234">
        <w:rPr>
          <w:rFonts w:ascii="Arial" w:hAnsi="Arial" w:cs="Arial"/>
          <w:lang w:val="en-US"/>
        </w:rPr>
        <w:t xml:space="preserve"> </w:t>
      </w:r>
      <w:r w:rsidRPr="00655234">
        <w:rPr>
          <w:rFonts w:ascii="Arial" w:hAnsi="Arial" w:cs="Arial"/>
          <w:b/>
          <w:bCs/>
          <w:lang w:val="en-US"/>
        </w:rPr>
        <w:t xml:space="preserve">creativity </w:t>
      </w:r>
      <w:r w:rsidRPr="00655234">
        <w:rPr>
          <w:rFonts w:ascii="Arial" w:hAnsi="Arial" w:cs="Arial"/>
          <w:lang w:val="en-US"/>
        </w:rPr>
        <w:t>is required when dealing with new challenges or working to improve processes</w:t>
      </w:r>
      <w:r w:rsidR="00837478">
        <w:rPr>
          <w:rFonts w:ascii="Arial" w:hAnsi="Arial" w:cs="Arial"/>
          <w:lang w:val="en-US"/>
        </w:rPr>
        <w:t>;</w:t>
      </w:r>
      <w:r w:rsidRPr="00655234">
        <w:rPr>
          <w:rFonts w:ascii="Arial" w:hAnsi="Arial" w:cs="Arial"/>
          <w:color w:val="25303B"/>
          <w:lang w:val="en-US"/>
        </w:rPr>
        <w:t xml:space="preserve"> </w:t>
      </w:r>
      <w:r w:rsidRPr="00655234">
        <w:rPr>
          <w:rFonts w:ascii="Arial" w:hAnsi="Arial" w:cs="Arial"/>
          <w:b/>
          <w:bCs/>
          <w:color w:val="25303B"/>
          <w:lang w:val="en-US"/>
        </w:rPr>
        <w:t xml:space="preserve">sense-making </w:t>
      </w:r>
      <w:r w:rsidRPr="00655234">
        <w:rPr>
          <w:rFonts w:ascii="Arial" w:hAnsi="Arial" w:cs="Arial"/>
          <w:color w:val="25303B"/>
          <w:lang w:val="en-US"/>
        </w:rPr>
        <w:t xml:space="preserve">is key when interpreting complex instructions or technical drawings as well as </w:t>
      </w:r>
      <w:proofErr w:type="spellStart"/>
      <w:r w:rsidRPr="00655234">
        <w:rPr>
          <w:rFonts w:ascii="Arial" w:hAnsi="Arial" w:cs="Arial"/>
          <w:color w:val="25303B"/>
          <w:lang w:val="en-US"/>
        </w:rPr>
        <w:t>analysing</w:t>
      </w:r>
      <w:proofErr w:type="spellEnd"/>
      <w:r w:rsidRPr="00655234">
        <w:rPr>
          <w:rFonts w:ascii="Arial" w:hAnsi="Arial" w:cs="Arial"/>
          <w:color w:val="25303B"/>
          <w:lang w:val="en-US"/>
        </w:rPr>
        <w:t xml:space="preserve"> data and root cause analysis, it allows the breaking down tasks into simpler, manageable steps and pattern spotting</w:t>
      </w:r>
      <w:r w:rsidR="00837478">
        <w:rPr>
          <w:rFonts w:ascii="Arial" w:hAnsi="Arial" w:cs="Arial"/>
          <w:color w:val="25303B"/>
          <w:lang w:val="en-US"/>
        </w:rPr>
        <w:t xml:space="preserve">; </w:t>
      </w:r>
      <w:r w:rsidRPr="00655234">
        <w:rPr>
          <w:rFonts w:ascii="Arial" w:hAnsi="Arial" w:cs="Arial"/>
          <w:b/>
          <w:bCs/>
          <w:color w:val="25303B"/>
          <w:lang w:val="en-US"/>
        </w:rPr>
        <w:t xml:space="preserve">critical thinking </w:t>
      </w:r>
      <w:r w:rsidRPr="00655234">
        <w:rPr>
          <w:rFonts w:ascii="Arial" w:hAnsi="Arial" w:cs="Arial"/>
          <w:color w:val="25303B"/>
          <w:lang w:val="en-US"/>
        </w:rPr>
        <w:t>is key when undertaking diagnostics and coming up with solutions when fault finding and requires self-awareness and reflection</w:t>
      </w:r>
      <w:r w:rsidR="00837478">
        <w:rPr>
          <w:rFonts w:ascii="Arial" w:hAnsi="Arial" w:cs="Arial"/>
          <w:color w:val="25303B"/>
          <w:lang w:val="en-US"/>
        </w:rPr>
        <w:t xml:space="preserve"> </w:t>
      </w:r>
      <w:r w:rsidRPr="00655234">
        <w:rPr>
          <w:rFonts w:ascii="Arial" w:hAnsi="Arial" w:cs="Arial"/>
          <w:color w:val="25303B"/>
          <w:lang w:val="en-US"/>
        </w:rPr>
        <w:t>to challenge systems and procedures</w:t>
      </w:r>
      <w:r w:rsidRPr="00655234">
        <w:rPr>
          <w:rFonts w:ascii="Arial" w:hAnsi="Arial" w:cs="Arial"/>
          <w:color w:val="25303B"/>
        </w:rPr>
        <w:t> </w:t>
      </w:r>
      <w:bookmarkStart w:id="26" w:name="_Hlk106183443"/>
      <w:r w:rsidR="00CE0732">
        <w:rPr>
          <w:rFonts w:ascii="Arial" w:hAnsi="Arial" w:cs="Arial"/>
          <w:bCs/>
        </w:rPr>
        <w:t xml:space="preserve"> </w:t>
      </w:r>
    </w:p>
    <w:p w14:paraId="72913BCD" w14:textId="6B7C5B9D" w:rsidR="00A004D8" w:rsidRDefault="00A004D8" w:rsidP="00A004D8">
      <w:pPr>
        <w:spacing w:line="276" w:lineRule="auto"/>
        <w:jc w:val="both"/>
        <w:rPr>
          <w:rFonts w:ascii="Arial" w:hAnsi="Arial" w:cs="Arial"/>
          <w:bCs/>
        </w:rPr>
      </w:pPr>
      <w:r>
        <w:rPr>
          <w:rFonts w:ascii="Arial" w:hAnsi="Arial" w:cs="Arial"/>
          <w:bCs/>
        </w:rPr>
        <w:t xml:space="preserve">The unit </w:t>
      </w:r>
      <w:r w:rsidR="00CE0732">
        <w:rPr>
          <w:rFonts w:ascii="Arial" w:hAnsi="Arial" w:cs="Arial"/>
          <w:bCs/>
        </w:rPr>
        <w:t xml:space="preserve">US 0194 </w:t>
      </w:r>
      <w:r>
        <w:rPr>
          <w:rFonts w:ascii="Arial" w:hAnsi="Arial" w:cs="Arial"/>
          <w:bCs/>
        </w:rPr>
        <w:t>Developing meta-skills and personal practice is included in the</w:t>
      </w:r>
      <w:r w:rsidR="00A9404E">
        <w:rPr>
          <w:rFonts w:ascii="Arial" w:hAnsi="Arial" w:cs="Arial"/>
          <w:bCs/>
        </w:rPr>
        <w:t xml:space="preserve"> </w:t>
      </w:r>
      <w:r w:rsidR="00CE0732">
        <w:rPr>
          <w:rFonts w:ascii="Arial" w:hAnsi="Arial" w:cs="Arial"/>
          <w:bCs/>
        </w:rPr>
        <w:t xml:space="preserve">Diploma in </w:t>
      </w:r>
      <w:r>
        <w:rPr>
          <w:rFonts w:ascii="Arial" w:hAnsi="Arial" w:cs="Arial"/>
          <w:bCs/>
        </w:rPr>
        <w:t>Engineering</w:t>
      </w:r>
      <w:r w:rsidR="005525DA">
        <w:rPr>
          <w:rFonts w:ascii="Arial" w:hAnsi="Arial" w:cs="Arial"/>
          <w:bCs/>
        </w:rPr>
        <w:t xml:space="preserve"> at SCQF</w:t>
      </w:r>
      <w:r w:rsidR="00CE0732">
        <w:rPr>
          <w:rFonts w:ascii="Arial" w:hAnsi="Arial" w:cs="Arial"/>
          <w:bCs/>
        </w:rPr>
        <w:t xml:space="preserve"> </w:t>
      </w:r>
      <w:r w:rsidR="00837478">
        <w:rPr>
          <w:rFonts w:ascii="Arial" w:hAnsi="Arial" w:cs="Arial"/>
          <w:bCs/>
        </w:rPr>
        <w:t>Level</w:t>
      </w:r>
      <w:r>
        <w:rPr>
          <w:rFonts w:ascii="Arial" w:hAnsi="Arial" w:cs="Arial"/>
          <w:bCs/>
        </w:rPr>
        <w:t xml:space="preserve"> </w:t>
      </w:r>
      <w:r w:rsidR="002C2515">
        <w:rPr>
          <w:rFonts w:ascii="Arial" w:hAnsi="Arial" w:cs="Arial"/>
          <w:bCs/>
        </w:rPr>
        <w:t>7</w:t>
      </w:r>
      <w:r w:rsidR="00837478">
        <w:rPr>
          <w:rFonts w:ascii="Arial" w:hAnsi="Arial" w:cs="Arial"/>
          <w:bCs/>
        </w:rPr>
        <w:t>.</w:t>
      </w:r>
      <w:r w:rsidR="002C2515">
        <w:rPr>
          <w:rFonts w:ascii="Arial" w:hAnsi="Arial" w:cs="Arial"/>
          <w:bCs/>
        </w:rPr>
        <w:t xml:space="preserve"> </w:t>
      </w:r>
      <w:r>
        <w:rPr>
          <w:rFonts w:ascii="Arial" w:hAnsi="Arial" w:cs="Arial"/>
          <w:bCs/>
        </w:rPr>
        <w:t>This specifically requires learners to be able to achieve the following learning outcome:</w:t>
      </w:r>
    </w:p>
    <w:p w14:paraId="48B024AB" w14:textId="18671599" w:rsidR="00A004D8" w:rsidRDefault="00A004D8" w:rsidP="00A004D8">
      <w:pPr>
        <w:numPr>
          <w:ilvl w:val="0"/>
          <w:numId w:val="15"/>
        </w:numPr>
        <w:spacing w:line="276" w:lineRule="auto"/>
        <w:contextualSpacing/>
        <w:jc w:val="both"/>
        <w:rPr>
          <w:rFonts w:ascii="Arial" w:hAnsi="Arial" w:cs="Arial"/>
          <w:bCs/>
        </w:rPr>
      </w:pPr>
      <w:r>
        <w:rPr>
          <w:rFonts w:ascii="Arial" w:hAnsi="Arial" w:cs="Arial"/>
          <w:bCs/>
        </w:rPr>
        <w:lastRenderedPageBreak/>
        <w:t>To develop meta-skills and personal practice through reflective practice, goal setting and active learning to improve own performance in line with organisational requirements.</w:t>
      </w:r>
    </w:p>
    <w:p w14:paraId="287B92C2" w14:textId="77777777" w:rsidR="00A004D8" w:rsidRDefault="00A004D8" w:rsidP="00A004D8">
      <w:pPr>
        <w:spacing w:after="0" w:line="276" w:lineRule="auto"/>
        <w:ind w:left="720"/>
        <w:contextualSpacing/>
        <w:jc w:val="both"/>
        <w:rPr>
          <w:rFonts w:ascii="Arial" w:hAnsi="Arial" w:cs="Arial"/>
          <w:bCs/>
        </w:rPr>
      </w:pPr>
    </w:p>
    <w:p w14:paraId="27B9DFC4" w14:textId="7CFE9383" w:rsidR="00A004D8" w:rsidRDefault="00A004D8" w:rsidP="00A004D8">
      <w:pPr>
        <w:spacing w:before="120" w:after="120" w:line="300" w:lineRule="exact"/>
        <w:jc w:val="both"/>
        <w:rPr>
          <w:rFonts w:ascii="Arial" w:hAnsi="Arial" w:cs="Arial"/>
          <w:bCs/>
        </w:rPr>
      </w:pPr>
      <w:r>
        <w:rPr>
          <w:rFonts w:ascii="Arial" w:hAnsi="Arial" w:cs="Arial"/>
          <w:bCs/>
        </w:rPr>
        <w:t xml:space="preserve">It is intended that the assessment of this unit will draw holistically on the assessment evidence from the other units within the qualification as learners carry out their normal day to day work activities, solve problems and work with others to achieve their objectives. </w:t>
      </w:r>
    </w:p>
    <w:p w14:paraId="20CA1A07" w14:textId="0C7FE9BA" w:rsidR="00A004D8" w:rsidRDefault="00A004D8" w:rsidP="00A004D8">
      <w:pPr>
        <w:spacing w:before="120" w:after="120" w:line="300" w:lineRule="exact"/>
        <w:jc w:val="both"/>
        <w:rPr>
          <w:rFonts w:ascii="Arial" w:hAnsi="Arial" w:cs="Arial"/>
          <w:bCs/>
        </w:rPr>
      </w:pPr>
      <w:r>
        <w:rPr>
          <w:rFonts w:ascii="Arial" w:hAnsi="Arial" w:cs="Arial"/>
          <w:bCs/>
        </w:rPr>
        <w:t>The process of self-assessment, reflection and evaluation of practice are central to the development of an individuals’ job specific skills and their meta-skills. This involves learners taking ownership of their learning by reviewing their work and reflecting on their progress.   Accordingly, most organisational performance management processes involve setting clear</w:t>
      </w:r>
      <w:r w:rsidR="00A015BD">
        <w:rPr>
          <w:rFonts w:ascii="Arial" w:hAnsi="Arial" w:cs="Arial"/>
          <w:bCs/>
        </w:rPr>
        <w:t xml:space="preserve"> </w:t>
      </w:r>
      <w:r>
        <w:rPr>
          <w:rFonts w:ascii="Arial" w:hAnsi="Arial" w:cs="Arial"/>
          <w:bCs/>
        </w:rPr>
        <w:t>objectives, agreeing development activities</w:t>
      </w:r>
      <w:r w:rsidR="00A015BD">
        <w:rPr>
          <w:rFonts w:ascii="Arial" w:hAnsi="Arial" w:cs="Arial"/>
          <w:bCs/>
        </w:rPr>
        <w:t>,</w:t>
      </w:r>
      <w:r>
        <w:rPr>
          <w:rFonts w:ascii="Arial" w:hAnsi="Arial" w:cs="Arial"/>
          <w:bCs/>
        </w:rPr>
        <w:t xml:space="preserve"> conducting regular progress reviews and feedback. This enables evidence of the development of individuals job specific skills and meta-skills to be generated naturally as part of the performance management process. </w:t>
      </w:r>
    </w:p>
    <w:p w14:paraId="04553E63" w14:textId="22FD7DB9" w:rsidR="00A004D8" w:rsidRDefault="00A004D8" w:rsidP="00A004D8">
      <w:pPr>
        <w:spacing w:before="120" w:after="120" w:line="300" w:lineRule="exact"/>
        <w:jc w:val="both"/>
        <w:rPr>
          <w:rFonts w:ascii="Arial" w:hAnsi="Arial" w:cs="Arial"/>
          <w:bCs/>
        </w:rPr>
      </w:pPr>
      <w:r>
        <w:rPr>
          <w:rFonts w:ascii="Arial" w:hAnsi="Arial" w:cs="Arial"/>
          <w:bCs/>
        </w:rPr>
        <w:t xml:space="preserve">In summary, the meta-skills unit is integrated with the other units of the qualification rather than being viewed as a standalone unit. The associated performance and knowledge and understanding requirements are generated through the other units and assessed through the performance management process. </w:t>
      </w:r>
    </w:p>
    <w:p w14:paraId="55470626" w14:textId="0241994A" w:rsidR="00A004D8" w:rsidRDefault="00A004D8" w:rsidP="00A004D8">
      <w:pPr>
        <w:spacing w:before="120" w:after="120" w:line="300" w:lineRule="exact"/>
        <w:jc w:val="both"/>
        <w:rPr>
          <w:rFonts w:ascii="Arial" w:hAnsi="Arial" w:cs="Arial"/>
          <w:bCs/>
        </w:rPr>
      </w:pPr>
      <w:r>
        <w:rPr>
          <w:rFonts w:ascii="Arial" w:hAnsi="Arial" w:cs="Arial"/>
          <w:bCs/>
        </w:rPr>
        <w:t>Furthermore, assessment of the meta</w:t>
      </w:r>
      <w:r w:rsidR="00FA443D">
        <w:rPr>
          <w:rFonts w:ascii="Arial" w:hAnsi="Arial" w:cs="Arial"/>
          <w:bCs/>
        </w:rPr>
        <w:t>-</w:t>
      </w:r>
      <w:r>
        <w:rPr>
          <w:rFonts w:ascii="Arial" w:hAnsi="Arial" w:cs="Arial"/>
          <w:bCs/>
        </w:rPr>
        <w:t>skills should focus on the nature and quality of the self-reflective</w:t>
      </w:r>
      <w:r w:rsidR="00FA443D">
        <w:rPr>
          <w:rFonts w:ascii="Arial" w:hAnsi="Arial" w:cs="Arial"/>
          <w:bCs/>
        </w:rPr>
        <w:t xml:space="preserve"> </w:t>
      </w:r>
      <w:r>
        <w:rPr>
          <w:rFonts w:ascii="Arial" w:hAnsi="Arial" w:cs="Arial"/>
          <w:bCs/>
        </w:rPr>
        <w:t xml:space="preserve">practices and self-evaluation activities being undertaken, rather than the achievement of specific meta-skills. However, supporting evidence that examples meta-skills development referred to in the self-reflective and self-evaluation practices should be provided. </w:t>
      </w:r>
    </w:p>
    <w:p w14:paraId="20C3C3C3" w14:textId="48572808" w:rsidR="00A004D8" w:rsidRDefault="00A004D8" w:rsidP="00A004D8">
      <w:pPr>
        <w:spacing w:before="120" w:after="120" w:line="300" w:lineRule="exact"/>
        <w:jc w:val="both"/>
        <w:rPr>
          <w:rFonts w:ascii="Arial" w:hAnsi="Arial" w:cs="Arial"/>
          <w:bCs/>
        </w:rPr>
      </w:pPr>
      <w:r>
        <w:rPr>
          <w:rFonts w:ascii="Arial" w:hAnsi="Arial" w:cs="Arial"/>
          <w:bCs/>
        </w:rPr>
        <w:t xml:space="preserve">Section 3 of the Overarching assessment strategy </w:t>
      </w:r>
      <w:r w:rsidR="00837EF4">
        <w:rPr>
          <w:rFonts w:ascii="Arial" w:hAnsi="Arial" w:cs="Arial"/>
          <w:bCs/>
        </w:rPr>
        <w:t>for competence</w:t>
      </w:r>
      <w:r w:rsidR="0028346F">
        <w:rPr>
          <w:rFonts w:ascii="Arial" w:hAnsi="Arial" w:cs="Arial"/>
          <w:bCs/>
        </w:rPr>
        <w:t>-</w:t>
      </w:r>
      <w:r w:rsidR="00837EF4">
        <w:rPr>
          <w:rFonts w:ascii="Arial" w:hAnsi="Arial" w:cs="Arial"/>
          <w:bCs/>
        </w:rPr>
        <w:t>based</w:t>
      </w:r>
      <w:r w:rsidR="00CC0CFF">
        <w:rPr>
          <w:rFonts w:ascii="Arial" w:hAnsi="Arial" w:cs="Arial"/>
          <w:bCs/>
        </w:rPr>
        <w:t xml:space="preserve"> </w:t>
      </w:r>
      <w:r w:rsidR="00837EF4">
        <w:rPr>
          <w:rFonts w:ascii="Arial" w:hAnsi="Arial" w:cs="Arial"/>
          <w:bCs/>
        </w:rPr>
        <w:t xml:space="preserve">qualifications </w:t>
      </w:r>
      <w:r>
        <w:rPr>
          <w:rFonts w:ascii="Arial" w:hAnsi="Arial" w:cs="Arial"/>
          <w:bCs/>
        </w:rPr>
        <w:t>provides guidance on the assessment of meta-skills to be used in conjunction with this assessment strategy appendix.</w:t>
      </w:r>
      <w:r w:rsidR="00FA443D">
        <w:rPr>
          <w:rFonts w:ascii="Arial" w:hAnsi="Arial" w:cs="Arial"/>
          <w:bCs/>
        </w:rPr>
        <w:t xml:space="preserve"> T</w:t>
      </w:r>
      <w:r>
        <w:rPr>
          <w:rFonts w:ascii="Arial" w:hAnsi="Arial" w:cs="Arial"/>
          <w:bCs/>
        </w:rPr>
        <w:t>herefore</w:t>
      </w:r>
      <w:r w:rsidR="00FA443D">
        <w:rPr>
          <w:rFonts w:ascii="Arial" w:hAnsi="Arial" w:cs="Arial"/>
          <w:bCs/>
        </w:rPr>
        <w:t>,</w:t>
      </w:r>
      <w:r>
        <w:rPr>
          <w:rFonts w:ascii="Arial" w:hAnsi="Arial" w:cs="Arial"/>
          <w:bCs/>
        </w:rPr>
        <w:t xml:space="preserve"> flexible approaches may be used </w:t>
      </w:r>
      <w:r w:rsidR="009C0E87">
        <w:rPr>
          <w:rFonts w:ascii="Arial" w:hAnsi="Arial" w:cs="Arial"/>
          <w:bCs/>
        </w:rPr>
        <w:t xml:space="preserve">and </w:t>
      </w:r>
      <w:r>
        <w:rPr>
          <w:rFonts w:ascii="Arial" w:hAnsi="Arial" w:cs="Arial"/>
          <w:bCs/>
        </w:rPr>
        <w:t>adapted to ensure assessment is relevant to individuals working in different organisations</w:t>
      </w:r>
      <w:bookmarkEnd w:id="26"/>
      <w:r>
        <w:rPr>
          <w:rFonts w:ascii="Arial" w:hAnsi="Arial" w:cs="Arial"/>
          <w:bCs/>
        </w:rPr>
        <w:t xml:space="preserve">. </w:t>
      </w:r>
      <w:r w:rsidR="00A9404E">
        <w:rPr>
          <w:rFonts w:ascii="Arial" w:hAnsi="Arial" w:cs="Arial"/>
          <w:bCs/>
        </w:rPr>
        <w:t xml:space="preserve">Examples of </w:t>
      </w:r>
      <w:r w:rsidR="00FA443D">
        <w:rPr>
          <w:rFonts w:ascii="Arial" w:hAnsi="Arial" w:cs="Arial"/>
          <w:bCs/>
        </w:rPr>
        <w:t>m</w:t>
      </w:r>
      <w:r w:rsidR="00A9404E">
        <w:rPr>
          <w:rFonts w:ascii="Arial" w:hAnsi="Arial" w:cs="Arial"/>
          <w:bCs/>
        </w:rPr>
        <w:t xml:space="preserve">eta- </w:t>
      </w:r>
      <w:r w:rsidR="00FA443D">
        <w:rPr>
          <w:rFonts w:ascii="Arial" w:hAnsi="Arial" w:cs="Arial"/>
          <w:bCs/>
        </w:rPr>
        <w:t>s</w:t>
      </w:r>
      <w:r w:rsidR="00A9404E">
        <w:rPr>
          <w:rFonts w:ascii="Arial" w:hAnsi="Arial" w:cs="Arial"/>
          <w:bCs/>
        </w:rPr>
        <w:t xml:space="preserve">kills for engineering are provided in the above profile. </w:t>
      </w:r>
    </w:p>
    <w:p w14:paraId="7C342098" w14:textId="48D63672" w:rsidR="00594E5A" w:rsidRPr="00594E5A" w:rsidRDefault="00594E5A" w:rsidP="00842E2B">
      <w:pPr>
        <w:spacing w:line="276" w:lineRule="auto"/>
        <w:jc w:val="both"/>
        <w:rPr>
          <w:rFonts w:ascii="Arial" w:hAnsi="Arial" w:cs="Arial"/>
        </w:rPr>
      </w:pPr>
      <w:bookmarkStart w:id="27" w:name="_Hlk79410601"/>
      <w:r w:rsidRPr="00594E5A">
        <w:rPr>
          <w:rFonts w:ascii="Arial" w:hAnsi="Arial" w:cs="Arial"/>
        </w:rPr>
        <w:t>In relation to meta-skills</w:t>
      </w:r>
      <w:r w:rsidR="00FA443D">
        <w:rPr>
          <w:rFonts w:ascii="Arial" w:hAnsi="Arial" w:cs="Arial"/>
        </w:rPr>
        <w:t>,</w:t>
      </w:r>
      <w:r w:rsidRPr="00594E5A">
        <w:rPr>
          <w:rFonts w:ascii="Arial" w:hAnsi="Arial" w:cs="Arial"/>
        </w:rPr>
        <w:t xml:space="preserve"> the minimum requirement for this qualification is that:</w:t>
      </w:r>
    </w:p>
    <w:p w14:paraId="76D372BB" w14:textId="5CF37D4B" w:rsidR="00594E5A" w:rsidRPr="00594E5A" w:rsidRDefault="00594E5A" w:rsidP="00842E2B">
      <w:pPr>
        <w:pStyle w:val="ListParagraph"/>
        <w:numPr>
          <w:ilvl w:val="0"/>
          <w:numId w:val="7"/>
        </w:numPr>
        <w:spacing w:line="276" w:lineRule="auto"/>
        <w:jc w:val="both"/>
        <w:rPr>
          <w:rFonts w:ascii="Arial" w:hAnsi="Arial" w:cs="Arial"/>
        </w:rPr>
      </w:pPr>
      <w:r w:rsidRPr="00594E5A">
        <w:rPr>
          <w:rFonts w:ascii="Arial" w:hAnsi="Arial" w:cs="Arial"/>
        </w:rPr>
        <w:t>reflective discussion on skills developed/</w:t>
      </w:r>
      <w:r w:rsidR="00FA443D">
        <w:rPr>
          <w:rFonts w:ascii="Arial" w:hAnsi="Arial" w:cs="Arial"/>
        </w:rPr>
        <w:t xml:space="preserve"> </w:t>
      </w:r>
      <w:r w:rsidRPr="00594E5A">
        <w:rPr>
          <w:rFonts w:ascii="Arial" w:hAnsi="Arial" w:cs="Arial"/>
        </w:rPr>
        <w:t>to be developed takes place on a minimum of four occasions, and</w:t>
      </w:r>
      <w:r w:rsidR="00A9404E">
        <w:rPr>
          <w:rFonts w:ascii="Arial" w:hAnsi="Arial" w:cs="Arial"/>
        </w:rPr>
        <w:t xml:space="preserve"> </w:t>
      </w:r>
    </w:p>
    <w:p w14:paraId="28E57888" w14:textId="185D74A9" w:rsidR="00594E5A" w:rsidRPr="009C0E87" w:rsidRDefault="00594E5A" w:rsidP="00842E2B">
      <w:pPr>
        <w:pStyle w:val="ListParagraph"/>
        <w:numPr>
          <w:ilvl w:val="0"/>
          <w:numId w:val="7"/>
        </w:numPr>
        <w:spacing w:line="276" w:lineRule="auto"/>
        <w:jc w:val="both"/>
        <w:rPr>
          <w:rFonts w:ascii="Arial" w:hAnsi="Arial" w:cs="Arial"/>
        </w:rPr>
      </w:pPr>
      <w:r w:rsidRPr="009C0E87">
        <w:rPr>
          <w:rFonts w:ascii="Arial" w:hAnsi="Arial" w:cs="Arial"/>
        </w:rPr>
        <w:t>these discussions include at least one meta-skill from each</w:t>
      </w:r>
      <w:r w:rsidR="0084722E">
        <w:rPr>
          <w:rFonts w:ascii="Arial" w:hAnsi="Arial" w:cs="Arial"/>
        </w:rPr>
        <w:t xml:space="preserve"> of</w:t>
      </w:r>
      <w:r w:rsidRPr="009C0E87">
        <w:rPr>
          <w:rFonts w:ascii="Arial" w:hAnsi="Arial" w:cs="Arial"/>
        </w:rPr>
        <w:t xml:space="preserve"> the three categories and a minimum of six meta-skills in total (see </w:t>
      </w:r>
      <w:hyperlink r:id="rId9" w:history="1">
        <w:r w:rsidRPr="009C0E87">
          <w:rPr>
            <w:rStyle w:val="Hyperlink"/>
            <w:rFonts w:ascii="Arial" w:hAnsi="Arial" w:cs="Arial"/>
          </w:rPr>
          <w:t>here</w:t>
        </w:r>
      </w:hyperlink>
      <w:r w:rsidRPr="009C0E87">
        <w:rPr>
          <w:rFonts w:ascii="Arial" w:hAnsi="Arial" w:cs="Arial"/>
        </w:rPr>
        <w:t xml:space="preserve"> for more detail on meta-skills and categories).</w:t>
      </w:r>
    </w:p>
    <w:p w14:paraId="12EB125D" w14:textId="47773D67" w:rsidR="001A0D44" w:rsidRPr="007F608A" w:rsidRDefault="001A0D44" w:rsidP="00A9404E">
      <w:pPr>
        <w:spacing w:line="276" w:lineRule="auto"/>
        <w:jc w:val="both"/>
        <w:rPr>
          <w:rFonts w:ascii="Arial" w:eastAsia="Calibri" w:hAnsi="Arial" w:cs="Arial"/>
        </w:rPr>
      </w:pPr>
      <w:r w:rsidRPr="007F608A">
        <w:rPr>
          <w:rFonts w:ascii="Arial" w:hAnsi="Arial" w:cs="Arial"/>
        </w:rPr>
        <w:t>Skills Development Scotland have additionally produced a range of tools which may be used to support assessment.</w:t>
      </w:r>
      <w:r w:rsidR="00E31B7F">
        <w:rPr>
          <w:rFonts w:ascii="Arial" w:hAnsi="Arial" w:cs="Arial"/>
        </w:rPr>
        <w:t xml:space="preserve"> </w:t>
      </w:r>
      <w:bookmarkEnd w:id="27"/>
      <w:r w:rsidRPr="007F608A">
        <w:rPr>
          <w:rFonts w:ascii="Arial" w:eastAsia="Calibri" w:hAnsi="Arial" w:cs="Arial"/>
        </w:rPr>
        <w:t xml:space="preserve">Meta-skills self-profiling tool </w:t>
      </w:r>
    </w:p>
    <w:p w14:paraId="5F2C4456" w14:textId="77777777" w:rsidR="001A0D44" w:rsidRPr="007F608A" w:rsidRDefault="001A0D44" w:rsidP="00842E2B">
      <w:pPr>
        <w:numPr>
          <w:ilvl w:val="0"/>
          <w:numId w:val="3"/>
        </w:numPr>
        <w:suppressAutoHyphens/>
        <w:autoSpaceDN w:val="0"/>
        <w:spacing w:after="0" w:line="240" w:lineRule="auto"/>
        <w:jc w:val="both"/>
        <w:textAlignment w:val="baseline"/>
        <w:rPr>
          <w:rFonts w:ascii="Arial" w:eastAsia="Calibri" w:hAnsi="Arial" w:cs="Arial"/>
        </w:rPr>
      </w:pPr>
      <w:r w:rsidRPr="007F608A">
        <w:rPr>
          <w:rFonts w:ascii="Arial" w:eastAsia="Calibri" w:hAnsi="Arial" w:cs="Arial"/>
        </w:rPr>
        <w:t>Meta-skills self-assessment tool</w:t>
      </w:r>
    </w:p>
    <w:p w14:paraId="40468D2E" w14:textId="0649762C" w:rsidR="001A0D44" w:rsidRPr="007F608A" w:rsidRDefault="001A0D44" w:rsidP="00842E2B">
      <w:pPr>
        <w:numPr>
          <w:ilvl w:val="0"/>
          <w:numId w:val="3"/>
        </w:numPr>
        <w:suppressAutoHyphens/>
        <w:autoSpaceDN w:val="0"/>
        <w:spacing w:after="0" w:line="240" w:lineRule="auto"/>
        <w:jc w:val="both"/>
        <w:textAlignment w:val="baseline"/>
        <w:rPr>
          <w:rFonts w:ascii="Arial" w:eastAsia="Calibri" w:hAnsi="Arial" w:cs="Arial"/>
        </w:rPr>
      </w:pPr>
      <w:r w:rsidRPr="007F608A">
        <w:rPr>
          <w:rFonts w:ascii="Arial" w:eastAsia="Calibri" w:hAnsi="Arial" w:cs="Arial"/>
        </w:rPr>
        <w:t>Meta-skills development plan</w:t>
      </w:r>
    </w:p>
    <w:p w14:paraId="4B4729C2" w14:textId="77777777" w:rsidR="00594E5A" w:rsidRPr="00CF0BF3" w:rsidRDefault="00594E5A" w:rsidP="00842E2B">
      <w:pPr>
        <w:suppressAutoHyphens/>
        <w:autoSpaceDN w:val="0"/>
        <w:spacing w:after="0" w:line="240" w:lineRule="auto"/>
        <w:ind w:left="720"/>
        <w:jc w:val="both"/>
        <w:textAlignment w:val="baseline"/>
        <w:rPr>
          <w:rFonts w:ascii="Arial" w:eastAsia="Calibri" w:hAnsi="Arial" w:cs="Arial"/>
        </w:rPr>
      </w:pPr>
    </w:p>
    <w:p w14:paraId="3FF81086" w14:textId="342304F4" w:rsidR="006F381C" w:rsidRPr="00C24BF8" w:rsidRDefault="006F381C" w:rsidP="00842E2B">
      <w:pPr>
        <w:suppressAutoHyphens/>
        <w:autoSpaceDN w:val="0"/>
        <w:spacing w:after="0" w:line="240" w:lineRule="auto"/>
        <w:jc w:val="both"/>
        <w:textAlignment w:val="baseline"/>
        <w:rPr>
          <w:rFonts w:ascii="Arial" w:eastAsia="Calibri" w:hAnsi="Arial" w:cs="Arial"/>
        </w:rPr>
      </w:pPr>
      <w:r w:rsidRPr="00C24BF8">
        <w:rPr>
          <w:rFonts w:ascii="Arial" w:eastAsia="Calibri" w:hAnsi="Arial" w:cs="Arial"/>
        </w:rPr>
        <w:t xml:space="preserve">The </w:t>
      </w:r>
      <w:r w:rsidR="00CF0BF3" w:rsidRPr="00C24BF8">
        <w:rPr>
          <w:rFonts w:ascii="Arial" w:eastAsia="Calibri" w:hAnsi="Arial" w:cs="Arial"/>
        </w:rPr>
        <w:t xml:space="preserve">meta-skills </w:t>
      </w:r>
      <w:r w:rsidRPr="00C24BF8">
        <w:rPr>
          <w:rFonts w:ascii="Arial" w:eastAsia="Calibri" w:hAnsi="Arial" w:cs="Arial"/>
        </w:rPr>
        <w:t xml:space="preserve">tools </w:t>
      </w:r>
      <w:r w:rsidR="00134F58" w:rsidRPr="00C24BF8">
        <w:rPr>
          <w:rFonts w:ascii="Arial" w:eastAsia="Calibri" w:hAnsi="Arial" w:cs="Arial"/>
        </w:rPr>
        <w:t xml:space="preserve">are available </w:t>
      </w:r>
      <w:r w:rsidR="009E50A3" w:rsidRPr="00C24BF8">
        <w:rPr>
          <w:rFonts w:ascii="Arial" w:eastAsia="Calibri" w:hAnsi="Arial" w:cs="Arial"/>
        </w:rPr>
        <w:t xml:space="preserve">from Skills Development Scotland </w:t>
      </w:r>
      <w:r w:rsidR="001B5A04" w:rsidRPr="00C24BF8">
        <w:rPr>
          <w:rFonts w:ascii="Arial" w:eastAsia="Calibri" w:hAnsi="Arial" w:cs="Arial"/>
        </w:rPr>
        <w:t>by</w:t>
      </w:r>
      <w:r w:rsidR="00134F58" w:rsidRPr="00C24BF8">
        <w:rPr>
          <w:rFonts w:ascii="Arial" w:eastAsia="Calibri" w:hAnsi="Arial" w:cs="Arial"/>
        </w:rPr>
        <w:t xml:space="preserve"> request</w:t>
      </w:r>
      <w:r w:rsidR="001B5A04" w:rsidRPr="00C24BF8">
        <w:rPr>
          <w:rFonts w:ascii="Arial" w:eastAsia="Calibri" w:hAnsi="Arial" w:cs="Arial"/>
        </w:rPr>
        <w:t xml:space="preserve"> to</w:t>
      </w:r>
      <w:r w:rsidR="009E50A3" w:rsidRPr="00C24BF8">
        <w:rPr>
          <w:rFonts w:ascii="Arial" w:eastAsia="Calibri" w:hAnsi="Arial" w:cs="Arial"/>
        </w:rPr>
        <w:t xml:space="preserve"> </w:t>
      </w:r>
      <w:hyperlink r:id="rId10" w:history="1">
        <w:r w:rsidR="009E50A3" w:rsidRPr="00C24BF8">
          <w:rPr>
            <w:rStyle w:val="Hyperlink"/>
            <w:rFonts w:ascii="Arial" w:eastAsia="Calibri" w:hAnsi="Arial" w:cs="Arial"/>
          </w:rPr>
          <w:t>apprenticeshipdevelopment@sds.co.uk</w:t>
        </w:r>
      </w:hyperlink>
      <w:r w:rsidR="009E50A3" w:rsidRPr="00C24BF8">
        <w:rPr>
          <w:rFonts w:ascii="Arial" w:eastAsia="Calibri" w:hAnsi="Arial" w:cs="Arial"/>
        </w:rPr>
        <w:t xml:space="preserve">  </w:t>
      </w:r>
    </w:p>
    <w:p w14:paraId="1B9E8F97" w14:textId="77777777" w:rsidR="00F07269" w:rsidRDefault="00F07269" w:rsidP="009C0E87">
      <w:pPr>
        <w:spacing w:line="276" w:lineRule="auto"/>
        <w:jc w:val="both"/>
        <w:rPr>
          <w:rFonts w:ascii="Arial" w:eastAsia="Calibri" w:hAnsi="Arial" w:cs="Arial"/>
          <w:sz w:val="20"/>
          <w:szCs w:val="20"/>
        </w:rPr>
      </w:pPr>
      <w:bookmarkStart w:id="28" w:name="_Toc97195884"/>
      <w:bookmarkStart w:id="29" w:name="_Toc100132474"/>
    </w:p>
    <w:p w14:paraId="7FFE35B0" w14:textId="77777777" w:rsidR="004373B5" w:rsidRDefault="004373B5" w:rsidP="009C0E87">
      <w:pPr>
        <w:spacing w:line="276" w:lineRule="auto"/>
        <w:jc w:val="both"/>
        <w:rPr>
          <w:rFonts w:ascii="Arial" w:eastAsia="Times New Roman" w:hAnsi="Arial" w:cs="Times New Roman"/>
          <w:b/>
          <w:sz w:val="28"/>
          <w:szCs w:val="32"/>
        </w:rPr>
      </w:pPr>
    </w:p>
    <w:p w14:paraId="7345EB67" w14:textId="3E13284F" w:rsidR="009C0E87" w:rsidRPr="0028346F" w:rsidRDefault="009C0E87" w:rsidP="009C0E87">
      <w:pPr>
        <w:spacing w:line="276" w:lineRule="auto"/>
        <w:jc w:val="both"/>
        <w:rPr>
          <w:b/>
          <w:bCs/>
          <w:sz w:val="28"/>
          <w:szCs w:val="28"/>
        </w:rPr>
      </w:pPr>
      <w:bookmarkStart w:id="30" w:name="_Hlk190251686"/>
      <w:r w:rsidRPr="0028346F">
        <w:rPr>
          <w:rFonts w:ascii="Arial" w:eastAsia="Times New Roman" w:hAnsi="Arial" w:cs="Times New Roman"/>
          <w:b/>
          <w:sz w:val="28"/>
          <w:szCs w:val="28"/>
        </w:rPr>
        <w:lastRenderedPageBreak/>
        <w:t>Appendix 1</w:t>
      </w:r>
      <w:bookmarkEnd w:id="28"/>
      <w:bookmarkEnd w:id="29"/>
      <w:r w:rsidR="008C0169" w:rsidRPr="0028346F">
        <w:rPr>
          <w:rFonts w:ascii="Arial" w:eastAsia="Times New Roman" w:hAnsi="Arial" w:cs="Times New Roman"/>
          <w:b/>
          <w:sz w:val="28"/>
          <w:szCs w:val="28"/>
        </w:rPr>
        <w:t>- Specific</w:t>
      </w:r>
      <w:r w:rsidRPr="0028346F">
        <w:rPr>
          <w:rFonts w:ascii="Arial" w:hAnsi="Arial" w:cs="Arial"/>
          <w:b/>
          <w:bCs/>
          <w:sz w:val="28"/>
          <w:szCs w:val="28"/>
        </w:rPr>
        <w:t xml:space="preserve"> terms within the Unit Specifications</w:t>
      </w:r>
      <w:r w:rsidRPr="0028346F">
        <w:rPr>
          <w:b/>
          <w:bCs/>
          <w:sz w:val="28"/>
          <w:szCs w:val="28"/>
        </w:rPr>
        <w:t xml:space="preserve"> </w:t>
      </w:r>
    </w:p>
    <w:bookmarkEnd w:id="30"/>
    <w:p w14:paraId="5C64D5D0" w14:textId="77777777" w:rsidR="009C0E87" w:rsidRDefault="009C0E87" w:rsidP="009C0E87">
      <w:pPr>
        <w:spacing w:line="276" w:lineRule="auto"/>
        <w:jc w:val="both"/>
        <w:rPr>
          <w:rFonts w:ascii="Arial" w:hAnsi="Arial" w:cs="Arial"/>
          <w:sz w:val="24"/>
          <w:szCs w:val="24"/>
        </w:rPr>
      </w:pPr>
      <w:r w:rsidRPr="009470FB">
        <w:rPr>
          <w:rFonts w:ascii="Arial" w:hAnsi="Arial" w:cs="Arial"/>
          <w:sz w:val="24"/>
          <w:szCs w:val="24"/>
        </w:rPr>
        <w:t>Below is glossary of terms set out with</w:t>
      </w:r>
      <w:r>
        <w:rPr>
          <w:rFonts w:ascii="Arial" w:hAnsi="Arial" w:cs="Arial"/>
          <w:sz w:val="24"/>
          <w:szCs w:val="24"/>
        </w:rPr>
        <w:t>in</w:t>
      </w:r>
      <w:r w:rsidRPr="009470FB">
        <w:rPr>
          <w:rFonts w:ascii="Arial" w:hAnsi="Arial" w:cs="Arial"/>
          <w:sz w:val="24"/>
          <w:szCs w:val="24"/>
        </w:rPr>
        <w:t xml:space="preserve"> the unit specifications</w:t>
      </w:r>
      <w:r>
        <w:rPr>
          <w:rFonts w:ascii="Arial" w:hAnsi="Arial" w:cs="Arial"/>
          <w:sz w:val="24"/>
          <w:szCs w:val="24"/>
        </w:rPr>
        <w:t>.</w:t>
      </w:r>
      <w:r w:rsidRPr="009470FB">
        <w:rPr>
          <w:rFonts w:ascii="Arial" w:hAnsi="Arial" w:cs="Arial"/>
          <w:sz w:val="24"/>
          <w:szCs w:val="24"/>
        </w:rPr>
        <w:t xml:space="preserve"> </w:t>
      </w:r>
    </w:p>
    <w:p w14:paraId="236B6F18" w14:textId="2B998494" w:rsidR="009C0E87" w:rsidRPr="00CC0CFF" w:rsidRDefault="0028346F" w:rsidP="00183067">
      <w:pPr>
        <w:pStyle w:val="ListParagraph"/>
        <w:numPr>
          <w:ilvl w:val="0"/>
          <w:numId w:val="23"/>
        </w:numPr>
        <w:spacing w:line="276" w:lineRule="auto"/>
        <w:rPr>
          <w:rFonts w:ascii="Arial" w:hAnsi="Arial" w:cs="Arial"/>
        </w:rPr>
      </w:pPr>
      <w:r w:rsidRPr="00CC0CFF">
        <w:rPr>
          <w:rFonts w:ascii="Arial" w:hAnsi="Arial" w:cs="Arial"/>
          <w:b/>
          <w:bCs/>
        </w:rPr>
        <w:t>E</w:t>
      </w:r>
      <w:r w:rsidR="009C0E87" w:rsidRPr="00CC0CFF">
        <w:rPr>
          <w:rFonts w:ascii="Arial" w:hAnsi="Arial" w:cs="Arial"/>
          <w:b/>
          <w:bCs/>
        </w:rPr>
        <w:t>ngineering asset</w:t>
      </w:r>
      <w:r w:rsidR="009C0E87" w:rsidRPr="00CC0CFF">
        <w:rPr>
          <w:rFonts w:ascii="Arial" w:hAnsi="Arial" w:cs="Arial"/>
        </w:rPr>
        <w:t xml:space="preserve"> - is any part, component or system associated with engineering plant and equipment, engineering assets can be mechanical, electrical, electronic, hydraulic or pneumatic Assets can be whole or part thereof. </w:t>
      </w:r>
    </w:p>
    <w:p w14:paraId="6B91C016" w14:textId="097EAD50" w:rsidR="009C0E87" w:rsidRPr="00C0393D" w:rsidRDefault="009C0E87" w:rsidP="00183067">
      <w:pPr>
        <w:pStyle w:val="ListParagraph"/>
        <w:numPr>
          <w:ilvl w:val="0"/>
          <w:numId w:val="12"/>
        </w:numPr>
        <w:spacing w:line="276" w:lineRule="auto"/>
        <w:rPr>
          <w:rFonts w:ascii="Arial" w:hAnsi="Arial" w:cs="Arial"/>
        </w:rPr>
      </w:pPr>
      <w:r w:rsidRPr="00541E6C">
        <w:rPr>
          <w:rFonts w:ascii="Arial" w:hAnsi="Arial" w:cs="Arial"/>
          <w:b/>
          <w:bCs/>
        </w:rPr>
        <w:t>Quality</w:t>
      </w:r>
      <w:r w:rsidR="00183067">
        <w:rPr>
          <w:rFonts w:ascii="Arial" w:hAnsi="Arial" w:cs="Arial"/>
          <w:b/>
          <w:bCs/>
        </w:rPr>
        <w:t xml:space="preserve"> </w:t>
      </w:r>
      <w:r w:rsidRPr="00541E6C">
        <w:rPr>
          <w:rFonts w:ascii="Arial" w:hAnsi="Arial" w:cs="Arial"/>
          <w:b/>
          <w:bCs/>
        </w:rPr>
        <w:t>requirements</w:t>
      </w:r>
      <w:r>
        <w:rPr>
          <w:rFonts w:ascii="Arial" w:hAnsi="Arial" w:cs="Arial"/>
        </w:rPr>
        <w:t xml:space="preserve"> -</w:t>
      </w:r>
      <w:r w:rsidR="00183067">
        <w:rPr>
          <w:rFonts w:ascii="Arial" w:hAnsi="Arial" w:cs="Arial"/>
        </w:rPr>
        <w:t xml:space="preserve"> </w:t>
      </w:r>
      <w:r w:rsidRPr="00C0393D">
        <w:rPr>
          <w:rFonts w:ascii="Arial" w:hAnsi="Arial" w:cs="Arial"/>
        </w:rPr>
        <w:t>specifications,</w:t>
      </w:r>
      <w:r>
        <w:rPr>
          <w:rFonts w:ascii="Arial" w:hAnsi="Arial" w:cs="Arial"/>
        </w:rPr>
        <w:t xml:space="preserve"> </w:t>
      </w:r>
      <w:r w:rsidRPr="00C0393D">
        <w:rPr>
          <w:rFonts w:ascii="Arial" w:hAnsi="Arial" w:cs="Arial"/>
        </w:rPr>
        <w:t>identification of flaws,</w:t>
      </w:r>
      <w:r>
        <w:rPr>
          <w:rFonts w:ascii="Arial" w:hAnsi="Arial" w:cs="Arial"/>
        </w:rPr>
        <w:t xml:space="preserve"> t</w:t>
      </w:r>
      <w:r w:rsidRPr="00C0393D">
        <w:rPr>
          <w:rFonts w:ascii="Arial" w:hAnsi="Arial" w:cs="Arial"/>
        </w:rPr>
        <w:t>olerance</w:t>
      </w:r>
      <w:r>
        <w:rPr>
          <w:rFonts w:ascii="Arial" w:hAnsi="Arial" w:cs="Arial"/>
        </w:rPr>
        <w:t>, measurement, contamination</w:t>
      </w:r>
    </w:p>
    <w:p w14:paraId="5182FA10" w14:textId="77777777" w:rsidR="009C0E87" w:rsidRPr="008F3DEF" w:rsidRDefault="009C0E87" w:rsidP="00183067">
      <w:pPr>
        <w:pStyle w:val="ListParagraph"/>
        <w:numPr>
          <w:ilvl w:val="0"/>
          <w:numId w:val="12"/>
        </w:numPr>
        <w:spacing w:line="276" w:lineRule="auto"/>
        <w:rPr>
          <w:rFonts w:ascii="Arial" w:hAnsi="Arial" w:cs="Arial"/>
        </w:rPr>
      </w:pPr>
      <w:r w:rsidRPr="008F3DEF">
        <w:rPr>
          <w:rFonts w:ascii="Arial" w:hAnsi="Arial" w:cs="Arial"/>
          <w:b/>
          <w:bCs/>
        </w:rPr>
        <w:t>Resources -</w:t>
      </w:r>
      <w:r w:rsidRPr="008F3DEF">
        <w:rPr>
          <w:rFonts w:ascii="Arial" w:hAnsi="Arial" w:cs="Arial"/>
        </w:rPr>
        <w:t xml:space="preserve"> tools, equipment, facilities. </w:t>
      </w:r>
      <w:r>
        <w:rPr>
          <w:rFonts w:ascii="Arial" w:hAnsi="Arial" w:cs="Arial"/>
        </w:rPr>
        <w:t>f</w:t>
      </w:r>
      <w:r w:rsidRPr="008F3DEF">
        <w:rPr>
          <w:rFonts w:ascii="Arial" w:hAnsi="Arial" w:cs="Arial"/>
        </w:rPr>
        <w:t xml:space="preserve">inance. </w:t>
      </w:r>
      <w:r>
        <w:rPr>
          <w:rFonts w:ascii="Arial" w:hAnsi="Arial" w:cs="Arial"/>
        </w:rPr>
        <w:t>m</w:t>
      </w:r>
      <w:r w:rsidRPr="008F3DEF">
        <w:rPr>
          <w:rFonts w:ascii="Arial" w:hAnsi="Arial" w:cs="Arial"/>
        </w:rPr>
        <w:t>aterials, people, plant, services</w:t>
      </w:r>
    </w:p>
    <w:p w14:paraId="28C00B36" w14:textId="08E091C5" w:rsidR="009C0E87" w:rsidRPr="00C0393D" w:rsidRDefault="009C0E87" w:rsidP="00183067">
      <w:pPr>
        <w:pStyle w:val="ListParagraph"/>
        <w:numPr>
          <w:ilvl w:val="0"/>
          <w:numId w:val="12"/>
        </w:numPr>
        <w:spacing w:line="276" w:lineRule="auto"/>
        <w:rPr>
          <w:rFonts w:ascii="Arial" w:hAnsi="Arial" w:cs="Arial"/>
        </w:rPr>
      </w:pPr>
      <w:r w:rsidRPr="00C0393D">
        <w:rPr>
          <w:rFonts w:ascii="Arial" w:hAnsi="Arial" w:cs="Arial"/>
          <w:b/>
          <w:bCs/>
        </w:rPr>
        <w:t>Consumables</w:t>
      </w:r>
      <w:r>
        <w:rPr>
          <w:rFonts w:ascii="Arial" w:hAnsi="Arial" w:cs="Arial"/>
          <w:b/>
          <w:bCs/>
        </w:rPr>
        <w:t xml:space="preserve"> - </w:t>
      </w:r>
      <w:r w:rsidRPr="00541E6C">
        <w:rPr>
          <w:rFonts w:ascii="Arial" w:hAnsi="Arial" w:cs="Arial"/>
        </w:rPr>
        <w:t>include</w:t>
      </w:r>
      <w:r w:rsidRPr="00C0393D">
        <w:rPr>
          <w:rFonts w:ascii="Arial" w:hAnsi="Arial" w:cs="Arial"/>
          <w:b/>
          <w:bCs/>
        </w:rPr>
        <w:t xml:space="preserve"> </w:t>
      </w:r>
      <w:r w:rsidRPr="00C0393D">
        <w:rPr>
          <w:rFonts w:ascii="Arial" w:hAnsi="Arial" w:cs="Arial"/>
        </w:rPr>
        <w:t>filters, sealants, lubricants, disposable PPE</w:t>
      </w:r>
      <w:r>
        <w:rPr>
          <w:rFonts w:ascii="Arial" w:hAnsi="Arial" w:cs="Arial"/>
        </w:rPr>
        <w:t>, fixings</w:t>
      </w:r>
    </w:p>
    <w:p w14:paraId="6A7AD076" w14:textId="16A9BDBC" w:rsidR="009C0E87" w:rsidRPr="00C0393D" w:rsidRDefault="009C0E87" w:rsidP="00183067">
      <w:pPr>
        <w:pStyle w:val="ListParagraph"/>
        <w:numPr>
          <w:ilvl w:val="0"/>
          <w:numId w:val="12"/>
        </w:numPr>
        <w:spacing w:line="276" w:lineRule="auto"/>
        <w:rPr>
          <w:rFonts w:ascii="Arial" w:hAnsi="Arial" w:cs="Arial"/>
        </w:rPr>
      </w:pPr>
      <w:r w:rsidRPr="00C0393D">
        <w:rPr>
          <w:rFonts w:ascii="Arial" w:hAnsi="Arial" w:cs="Arial"/>
          <w:b/>
          <w:bCs/>
        </w:rPr>
        <w:t>Principles</w:t>
      </w:r>
      <w:r>
        <w:rPr>
          <w:rFonts w:ascii="Arial" w:hAnsi="Arial" w:cs="Arial"/>
          <w:b/>
          <w:bCs/>
        </w:rPr>
        <w:t xml:space="preserve"> - </w:t>
      </w:r>
      <w:r w:rsidRPr="00505FA7">
        <w:rPr>
          <w:rFonts w:ascii="Arial" w:hAnsi="Arial" w:cs="Arial"/>
          <w:color w:val="202124"/>
          <w:shd w:val="clear" w:color="auto" w:fill="FFFFFF"/>
        </w:rPr>
        <w:t>the ideas, rules, or concepts that need to be kept in mind when solving an engineering problem.</w:t>
      </w:r>
    </w:p>
    <w:p w14:paraId="049C2167" w14:textId="13FCF187" w:rsidR="009C0E87" w:rsidRPr="00C0393D" w:rsidRDefault="009C0E87" w:rsidP="00183067">
      <w:pPr>
        <w:pStyle w:val="ListParagraph"/>
        <w:numPr>
          <w:ilvl w:val="0"/>
          <w:numId w:val="12"/>
        </w:numPr>
        <w:spacing w:line="276" w:lineRule="auto"/>
        <w:rPr>
          <w:rFonts w:ascii="Arial" w:hAnsi="Arial" w:cs="Arial"/>
        </w:rPr>
      </w:pPr>
      <w:r w:rsidRPr="00C0393D">
        <w:rPr>
          <w:rFonts w:ascii="Arial" w:hAnsi="Arial" w:cs="Arial"/>
          <w:b/>
          <w:bCs/>
        </w:rPr>
        <w:t>Store</w:t>
      </w:r>
      <w:r>
        <w:rPr>
          <w:rFonts w:ascii="Arial" w:hAnsi="Arial" w:cs="Arial"/>
          <w:b/>
          <w:bCs/>
        </w:rPr>
        <w:t>d</w:t>
      </w:r>
      <w:r w:rsidRPr="00C0393D">
        <w:rPr>
          <w:rFonts w:ascii="Arial" w:hAnsi="Arial" w:cs="Arial"/>
          <w:b/>
          <w:bCs/>
        </w:rPr>
        <w:t xml:space="preserve"> energy</w:t>
      </w:r>
      <w:r w:rsidRPr="00C0393D">
        <w:rPr>
          <w:rFonts w:ascii="Arial" w:hAnsi="Arial" w:cs="Arial"/>
        </w:rPr>
        <w:t xml:space="preserve"> </w:t>
      </w:r>
      <w:r w:rsidRPr="00505FA7">
        <w:rPr>
          <w:rFonts w:ascii="Arial" w:hAnsi="Arial" w:cs="Arial"/>
          <w:b/>
          <w:bCs/>
        </w:rPr>
        <w:t>isolation</w:t>
      </w:r>
      <w:r>
        <w:rPr>
          <w:rFonts w:ascii="Arial" w:hAnsi="Arial" w:cs="Arial"/>
        </w:rPr>
        <w:t xml:space="preserve"> - </w:t>
      </w:r>
      <w:r>
        <w:rPr>
          <w:rFonts w:ascii="Arial" w:hAnsi="Arial" w:cs="Arial"/>
          <w:color w:val="202124"/>
          <w:shd w:val="clear" w:color="auto" w:fill="FFFFFF"/>
        </w:rPr>
        <w:t xml:space="preserve">The </w:t>
      </w:r>
      <w:r w:rsidRPr="00557C85">
        <w:rPr>
          <w:rFonts w:ascii="Arial" w:hAnsi="Arial" w:cs="Arial"/>
          <w:color w:val="202124"/>
          <w:shd w:val="clear" w:color="auto" w:fill="FFFFFF"/>
        </w:rPr>
        <w:t>physical prevent</w:t>
      </w:r>
      <w:r>
        <w:rPr>
          <w:rFonts w:ascii="Arial" w:hAnsi="Arial" w:cs="Arial"/>
          <w:color w:val="202124"/>
          <w:shd w:val="clear" w:color="auto" w:fill="FFFFFF"/>
        </w:rPr>
        <w:t xml:space="preserve">ion of the </w:t>
      </w:r>
      <w:r w:rsidRPr="00557C85">
        <w:rPr>
          <w:rFonts w:ascii="Arial" w:hAnsi="Arial" w:cs="Arial"/>
          <w:color w:val="202124"/>
          <w:shd w:val="clear" w:color="auto" w:fill="FFFFFF"/>
        </w:rPr>
        <w:t xml:space="preserve">transmission or release of energy. This includes </w:t>
      </w:r>
      <w:r w:rsidR="00CC0CFF">
        <w:rPr>
          <w:rFonts w:ascii="Arial" w:hAnsi="Arial" w:cs="Arial"/>
          <w:color w:val="202124"/>
          <w:shd w:val="clear" w:color="auto" w:fill="FFFFFF"/>
        </w:rPr>
        <w:t>v</w:t>
      </w:r>
      <w:r w:rsidRPr="00557C85">
        <w:rPr>
          <w:rFonts w:ascii="Arial" w:hAnsi="Arial" w:cs="Arial"/>
          <w:color w:val="202124"/>
          <w:shd w:val="clear" w:color="auto" w:fill="FFFFFF"/>
        </w:rPr>
        <w:t xml:space="preserve">alves, </w:t>
      </w:r>
      <w:r w:rsidR="00CC0CFF">
        <w:rPr>
          <w:rFonts w:ascii="Arial" w:hAnsi="Arial" w:cs="Arial"/>
          <w:color w:val="202124"/>
          <w:shd w:val="clear" w:color="auto" w:fill="FFFFFF"/>
        </w:rPr>
        <w:t>b</w:t>
      </w:r>
      <w:r w:rsidRPr="00557C85">
        <w:rPr>
          <w:rFonts w:ascii="Arial" w:hAnsi="Arial" w:cs="Arial"/>
          <w:color w:val="202124"/>
          <w:shd w:val="clear" w:color="auto" w:fill="FFFFFF"/>
        </w:rPr>
        <w:t xml:space="preserve">reakers, </w:t>
      </w:r>
      <w:r w:rsidR="00CC0CFF">
        <w:rPr>
          <w:rFonts w:ascii="Arial" w:hAnsi="Arial" w:cs="Arial"/>
          <w:color w:val="202124"/>
          <w:shd w:val="clear" w:color="auto" w:fill="FFFFFF"/>
        </w:rPr>
        <w:t>s</w:t>
      </w:r>
      <w:r w:rsidRPr="00557C85">
        <w:rPr>
          <w:rFonts w:ascii="Arial" w:hAnsi="Arial" w:cs="Arial"/>
          <w:color w:val="202124"/>
          <w:shd w:val="clear" w:color="auto" w:fill="FFFFFF"/>
        </w:rPr>
        <w:t xml:space="preserve">witches; </w:t>
      </w:r>
      <w:r w:rsidR="00CC0CFF">
        <w:rPr>
          <w:rFonts w:ascii="Arial" w:hAnsi="Arial" w:cs="Arial"/>
          <w:color w:val="202124"/>
          <w:shd w:val="clear" w:color="auto" w:fill="FFFFFF"/>
        </w:rPr>
        <w:t>b</w:t>
      </w:r>
      <w:r w:rsidRPr="00557C85">
        <w:rPr>
          <w:rFonts w:ascii="Arial" w:hAnsi="Arial" w:cs="Arial"/>
          <w:color w:val="202124"/>
          <w:shd w:val="clear" w:color="auto" w:fill="FFFFFF"/>
        </w:rPr>
        <w:t xml:space="preserve">lank </w:t>
      </w:r>
      <w:r w:rsidR="00CC0CFF">
        <w:rPr>
          <w:rFonts w:ascii="Arial" w:hAnsi="Arial" w:cs="Arial"/>
          <w:color w:val="202124"/>
          <w:shd w:val="clear" w:color="auto" w:fill="FFFFFF"/>
        </w:rPr>
        <w:t>f</w:t>
      </w:r>
      <w:r w:rsidRPr="00557C85">
        <w:rPr>
          <w:rFonts w:ascii="Arial" w:hAnsi="Arial" w:cs="Arial"/>
          <w:color w:val="202124"/>
          <w:shd w:val="clear" w:color="auto" w:fill="FFFFFF"/>
        </w:rPr>
        <w:t>langes for</w:t>
      </w:r>
      <w:r>
        <w:rPr>
          <w:rFonts w:ascii="Arial" w:hAnsi="Arial" w:cs="Arial"/>
          <w:color w:val="202124"/>
          <w:shd w:val="clear" w:color="auto" w:fill="FFFFFF"/>
        </w:rPr>
        <w:t xml:space="preserve"> piping systems; </w:t>
      </w:r>
      <w:r w:rsidR="00CC0CFF">
        <w:rPr>
          <w:rFonts w:ascii="Arial" w:hAnsi="Arial" w:cs="Arial"/>
          <w:color w:val="202124"/>
          <w:shd w:val="clear" w:color="auto" w:fill="FFFFFF"/>
        </w:rPr>
        <w:t>r</w:t>
      </w:r>
      <w:r>
        <w:rPr>
          <w:rFonts w:ascii="Arial" w:hAnsi="Arial" w:cs="Arial"/>
          <w:color w:val="202124"/>
          <w:shd w:val="clear" w:color="auto" w:fill="FFFFFF"/>
        </w:rPr>
        <w:t xml:space="preserve">estraining </w:t>
      </w:r>
      <w:r w:rsidR="00CC0CFF">
        <w:rPr>
          <w:rFonts w:ascii="Arial" w:hAnsi="Arial" w:cs="Arial"/>
          <w:color w:val="202124"/>
          <w:shd w:val="clear" w:color="auto" w:fill="FFFFFF"/>
        </w:rPr>
        <w:t>d</w:t>
      </w:r>
      <w:r>
        <w:rPr>
          <w:rFonts w:ascii="Arial" w:hAnsi="Arial" w:cs="Arial"/>
          <w:color w:val="202124"/>
          <w:shd w:val="clear" w:color="auto" w:fill="FFFFFF"/>
        </w:rPr>
        <w:t>evices to prevent movement of parts.</w:t>
      </w:r>
    </w:p>
    <w:p w14:paraId="74BA1A6C" w14:textId="69CA72FA" w:rsidR="009C0E87" w:rsidRPr="00CC0CFF" w:rsidRDefault="009C0E87" w:rsidP="00183067">
      <w:pPr>
        <w:pStyle w:val="ListParagraph"/>
        <w:numPr>
          <w:ilvl w:val="0"/>
          <w:numId w:val="12"/>
        </w:numPr>
        <w:spacing w:line="276" w:lineRule="auto"/>
        <w:rPr>
          <w:rFonts w:ascii="Arial" w:hAnsi="Arial" w:cs="Arial"/>
        </w:rPr>
      </w:pPr>
      <w:r w:rsidRPr="00CC0CFF">
        <w:rPr>
          <w:rFonts w:ascii="Arial" w:hAnsi="Arial" w:cs="Arial"/>
          <w:b/>
          <w:bCs/>
        </w:rPr>
        <w:t>Digital / Emerging Technologies</w:t>
      </w:r>
      <w:r w:rsidRPr="00CC0CFF">
        <w:rPr>
          <w:rFonts w:ascii="Arial" w:hAnsi="Arial" w:cs="Arial"/>
        </w:rPr>
        <w:t xml:space="preserve"> – knowledge of advanced engineering solutions, Sensors, AI, IOT, data analytics, Automated and semi-automated systems  </w:t>
      </w:r>
    </w:p>
    <w:p w14:paraId="22948F4E" w14:textId="77777777" w:rsidR="009C0E87" w:rsidRPr="00C0393D" w:rsidRDefault="009C0E87" w:rsidP="00183067">
      <w:pPr>
        <w:pStyle w:val="ListParagraph"/>
        <w:numPr>
          <w:ilvl w:val="0"/>
          <w:numId w:val="12"/>
        </w:numPr>
        <w:spacing w:line="276" w:lineRule="auto"/>
        <w:rPr>
          <w:rFonts w:ascii="Arial" w:hAnsi="Arial" w:cs="Arial"/>
        </w:rPr>
      </w:pPr>
      <w:r w:rsidRPr="00541E6C">
        <w:rPr>
          <w:rFonts w:ascii="Arial" w:hAnsi="Arial" w:cs="Arial"/>
          <w:b/>
          <w:bCs/>
        </w:rPr>
        <w:t>Coding and Certification schemes</w:t>
      </w:r>
      <w:r>
        <w:rPr>
          <w:rFonts w:ascii="Arial" w:hAnsi="Arial" w:cs="Arial"/>
        </w:rPr>
        <w:t xml:space="preserve"> – Coding and certification schemes for welding and fabrication, testing, inspection, fault diagnosis, installing and commissioning</w:t>
      </w:r>
    </w:p>
    <w:p w14:paraId="384A76BB" w14:textId="3F6F1BAC" w:rsidR="009C0E87" w:rsidRPr="00541E6C" w:rsidRDefault="009C0E87" w:rsidP="00183067">
      <w:pPr>
        <w:pStyle w:val="ListParagraph"/>
        <w:numPr>
          <w:ilvl w:val="0"/>
          <w:numId w:val="12"/>
        </w:numPr>
        <w:spacing w:line="276" w:lineRule="auto"/>
        <w:rPr>
          <w:rFonts w:ascii="Arial" w:hAnsi="Arial" w:cs="Arial"/>
          <w:b/>
          <w:bCs/>
        </w:rPr>
      </w:pPr>
      <w:r w:rsidRPr="00541E6C">
        <w:rPr>
          <w:rFonts w:ascii="Arial" w:hAnsi="Arial" w:cs="Arial"/>
          <w:b/>
          <w:bCs/>
        </w:rPr>
        <w:t>Management of Change (MOC)</w:t>
      </w:r>
      <w:r>
        <w:rPr>
          <w:rFonts w:ascii="Arial" w:hAnsi="Arial" w:cs="Arial"/>
          <w:b/>
          <w:bCs/>
        </w:rPr>
        <w:t xml:space="preserve"> </w:t>
      </w:r>
      <w:r w:rsidRPr="00557C85">
        <w:rPr>
          <w:rFonts w:ascii="Arial" w:hAnsi="Arial" w:cs="Arial"/>
        </w:rPr>
        <w:t>– may refer to</w:t>
      </w:r>
      <w:r>
        <w:rPr>
          <w:rFonts w:ascii="Arial" w:hAnsi="Arial" w:cs="Arial"/>
        </w:rPr>
        <w:t xml:space="preserve"> the</w:t>
      </w:r>
      <w:r w:rsidRPr="00557C85">
        <w:rPr>
          <w:rFonts w:ascii="Arial" w:hAnsi="Arial" w:cs="Arial"/>
        </w:rPr>
        <w:t xml:space="preserve"> </w:t>
      </w:r>
      <w:r w:rsidR="00CC0CFF">
        <w:rPr>
          <w:rFonts w:ascii="Arial" w:hAnsi="Arial" w:cs="Arial"/>
        </w:rPr>
        <w:t>i</w:t>
      </w:r>
      <w:r w:rsidRPr="00557C85">
        <w:rPr>
          <w:rFonts w:ascii="Arial" w:hAnsi="Arial" w:cs="Arial"/>
        </w:rPr>
        <w:t>mplementation of new technologies, change in leadership, change in organisational culture</w:t>
      </w:r>
      <w:r>
        <w:rPr>
          <w:rFonts w:ascii="Arial" w:hAnsi="Arial" w:cs="Arial"/>
        </w:rPr>
        <w:t>, new ways of working or a change of process or procedure.</w:t>
      </w:r>
    </w:p>
    <w:p w14:paraId="1BB9C425" w14:textId="77777777" w:rsidR="009C0E87" w:rsidRPr="008F3DEF" w:rsidRDefault="009C0E87" w:rsidP="00183067">
      <w:pPr>
        <w:pStyle w:val="ListParagraph"/>
        <w:numPr>
          <w:ilvl w:val="0"/>
          <w:numId w:val="12"/>
        </w:numPr>
        <w:spacing w:line="276" w:lineRule="auto"/>
      </w:pPr>
      <w:r w:rsidRPr="00541E6C">
        <w:rPr>
          <w:rFonts w:ascii="Arial" w:hAnsi="Arial" w:cs="Arial"/>
          <w:b/>
          <w:bCs/>
        </w:rPr>
        <w:t>Business and Commercial Considerations</w:t>
      </w:r>
      <w:r>
        <w:rPr>
          <w:rFonts w:ascii="Arial" w:hAnsi="Arial" w:cs="Arial"/>
        </w:rPr>
        <w:t xml:space="preserve"> – </w:t>
      </w:r>
      <w:r w:rsidRPr="00541E6C">
        <w:rPr>
          <w:rFonts w:ascii="Arial" w:hAnsi="Arial" w:cs="Arial"/>
        </w:rPr>
        <w:t>refer to costs, environmental impact,</w:t>
      </w:r>
      <w:r>
        <w:rPr>
          <w:rFonts w:ascii="Arial" w:hAnsi="Arial" w:cs="Arial"/>
        </w:rPr>
        <w:t xml:space="preserve"> markets, competitor, ROI </w:t>
      </w:r>
    </w:p>
    <w:p w14:paraId="40A67B9C" w14:textId="3974652D" w:rsidR="009C0E87" w:rsidRDefault="009C0E87" w:rsidP="00183067">
      <w:pPr>
        <w:pStyle w:val="ListParagraph"/>
        <w:numPr>
          <w:ilvl w:val="0"/>
          <w:numId w:val="12"/>
        </w:numPr>
        <w:spacing w:after="0" w:line="240" w:lineRule="auto"/>
        <w:rPr>
          <w:rFonts w:cstheme="minorHAnsi"/>
          <w:b/>
          <w:bCs/>
          <w:sz w:val="20"/>
          <w:szCs w:val="20"/>
        </w:rPr>
      </w:pPr>
      <w:r w:rsidRPr="00F52022">
        <w:rPr>
          <w:rFonts w:ascii="Arial" w:hAnsi="Arial" w:cs="Arial"/>
          <w:b/>
          <w:bCs/>
        </w:rPr>
        <w:t xml:space="preserve">Legislation, </w:t>
      </w:r>
      <w:r w:rsidR="00CC0CFF">
        <w:rPr>
          <w:rFonts w:ascii="Arial" w:hAnsi="Arial" w:cs="Arial"/>
          <w:b/>
          <w:bCs/>
        </w:rPr>
        <w:t>R</w:t>
      </w:r>
      <w:r w:rsidRPr="00F52022">
        <w:rPr>
          <w:rFonts w:ascii="Arial" w:hAnsi="Arial" w:cs="Arial"/>
          <w:b/>
          <w:bCs/>
        </w:rPr>
        <w:t xml:space="preserve">egulations, </w:t>
      </w:r>
      <w:r w:rsidR="00CC0CFF">
        <w:rPr>
          <w:rFonts w:ascii="Arial" w:hAnsi="Arial" w:cs="Arial"/>
          <w:b/>
          <w:bCs/>
        </w:rPr>
        <w:t>S</w:t>
      </w:r>
      <w:r w:rsidRPr="00F52022">
        <w:rPr>
          <w:rFonts w:ascii="Arial" w:hAnsi="Arial" w:cs="Arial"/>
          <w:b/>
          <w:bCs/>
        </w:rPr>
        <w:t xml:space="preserve">tandards and </w:t>
      </w:r>
      <w:r w:rsidR="00CC0CFF">
        <w:rPr>
          <w:rFonts w:ascii="Arial" w:hAnsi="Arial" w:cs="Arial"/>
          <w:b/>
          <w:bCs/>
        </w:rPr>
        <w:t>G</w:t>
      </w:r>
      <w:r w:rsidRPr="00F52022">
        <w:rPr>
          <w:rFonts w:ascii="Arial" w:hAnsi="Arial" w:cs="Arial"/>
          <w:b/>
          <w:bCs/>
        </w:rPr>
        <w:t>uidelines</w:t>
      </w:r>
      <w:r w:rsidR="00CC0CFF">
        <w:rPr>
          <w:rFonts w:ascii="Arial" w:hAnsi="Arial" w:cs="Arial"/>
          <w:b/>
          <w:bCs/>
        </w:rPr>
        <w:t>,</w:t>
      </w:r>
      <w:r>
        <w:rPr>
          <w:rFonts w:ascii="Arial" w:hAnsi="Arial" w:cs="Arial"/>
          <w:b/>
          <w:bCs/>
        </w:rPr>
        <w:t xml:space="preserve"> </w:t>
      </w:r>
      <w:r w:rsidR="00CC0CFF">
        <w:rPr>
          <w:rFonts w:ascii="Arial" w:hAnsi="Arial" w:cs="Arial"/>
          <w:b/>
          <w:bCs/>
        </w:rPr>
        <w:t>S</w:t>
      </w:r>
      <w:r>
        <w:rPr>
          <w:rFonts w:ascii="Arial" w:hAnsi="Arial" w:cs="Arial"/>
          <w:b/>
          <w:bCs/>
        </w:rPr>
        <w:t xml:space="preserve">afe </w:t>
      </w:r>
      <w:r w:rsidR="00CC0CFF">
        <w:rPr>
          <w:rFonts w:ascii="Arial" w:hAnsi="Arial" w:cs="Arial"/>
          <w:b/>
          <w:bCs/>
        </w:rPr>
        <w:t>S</w:t>
      </w:r>
      <w:r>
        <w:rPr>
          <w:rFonts w:ascii="Arial" w:hAnsi="Arial" w:cs="Arial"/>
          <w:b/>
          <w:bCs/>
        </w:rPr>
        <w:t>ystems of Work and Protocols</w:t>
      </w:r>
      <w:r w:rsidRPr="00F52022">
        <w:rPr>
          <w:rFonts w:ascii="Arial" w:hAnsi="Arial" w:cs="Arial"/>
          <w:b/>
          <w:bCs/>
        </w:rPr>
        <w:t xml:space="preserve"> - </w:t>
      </w:r>
      <w:r>
        <w:rPr>
          <w:rFonts w:ascii="Arial" w:hAnsi="Arial" w:cs="Arial"/>
        </w:rPr>
        <w:t>organisation</w:t>
      </w:r>
      <w:r w:rsidRPr="00F52022">
        <w:rPr>
          <w:rFonts w:ascii="Arial" w:hAnsi="Arial" w:cs="Arial"/>
        </w:rPr>
        <w:t xml:space="preserve"> polic</w:t>
      </w:r>
      <w:r>
        <w:rPr>
          <w:rFonts w:ascii="Arial" w:hAnsi="Arial" w:cs="Arial"/>
        </w:rPr>
        <w:t>ies</w:t>
      </w:r>
      <w:r w:rsidRPr="00F52022">
        <w:rPr>
          <w:rFonts w:ascii="Arial" w:hAnsi="Arial" w:cs="Arial"/>
        </w:rPr>
        <w:t xml:space="preserve"> and procedures, industry specific, international, manufacturer specific, national, statutory bodies</w:t>
      </w:r>
      <w:r>
        <w:rPr>
          <w:rFonts w:ascii="Arial" w:hAnsi="Arial" w:cs="Arial"/>
        </w:rPr>
        <w:t>, codes of practice</w:t>
      </w:r>
      <w:r w:rsidRPr="00F52022">
        <w:rPr>
          <w:rFonts w:cstheme="minorHAnsi"/>
          <w:b/>
          <w:bCs/>
          <w:sz w:val="20"/>
          <w:szCs w:val="20"/>
        </w:rPr>
        <w:t xml:space="preserve"> </w:t>
      </w:r>
    </w:p>
    <w:p w14:paraId="426C2F7F" w14:textId="3FEA45C8" w:rsidR="009C0E87" w:rsidRPr="008E01BD" w:rsidRDefault="009C0E87" w:rsidP="00183067">
      <w:pPr>
        <w:pStyle w:val="ListParagraph"/>
        <w:numPr>
          <w:ilvl w:val="0"/>
          <w:numId w:val="12"/>
        </w:numPr>
        <w:spacing w:after="0" w:line="276" w:lineRule="auto"/>
      </w:pPr>
      <w:r w:rsidRPr="005A0040">
        <w:rPr>
          <w:rFonts w:ascii="Arial" w:hAnsi="Arial" w:cs="Arial"/>
          <w:b/>
          <w:bCs/>
        </w:rPr>
        <w:t>Metrology -</w:t>
      </w:r>
      <w:r w:rsidRPr="005A0040">
        <w:rPr>
          <w:rFonts w:cstheme="minorHAnsi"/>
          <w:b/>
          <w:bCs/>
          <w:sz w:val="20"/>
          <w:szCs w:val="20"/>
        </w:rPr>
        <w:t xml:space="preserve"> </w:t>
      </w:r>
      <w:r w:rsidRPr="005A0040">
        <w:rPr>
          <w:rFonts w:ascii="Arial" w:hAnsi="Arial" w:cs="Arial"/>
          <w:color w:val="202124"/>
          <w:shd w:val="clear" w:color="auto" w:fill="FFFFFF"/>
        </w:rPr>
        <w:t>science of measurement and its application</w:t>
      </w:r>
      <w:r>
        <w:rPr>
          <w:rFonts w:ascii="Arial" w:hAnsi="Arial" w:cs="Arial"/>
          <w:color w:val="202124"/>
          <w:shd w:val="clear" w:color="auto" w:fill="FFFFFF"/>
        </w:rPr>
        <w:t xml:space="preserve">, </w:t>
      </w:r>
      <w:r w:rsidRPr="005A0040">
        <w:rPr>
          <w:rFonts w:ascii="Arial" w:hAnsi="Arial" w:cs="Arial"/>
          <w:color w:val="202124"/>
          <w:shd w:val="clear" w:color="auto" w:fill="FFFFFF"/>
        </w:rPr>
        <w:t xml:space="preserve">validation and verification to pre-defined standards.  </w:t>
      </w:r>
      <w:r>
        <w:rPr>
          <w:rFonts w:ascii="Arial" w:hAnsi="Arial" w:cs="Arial"/>
          <w:color w:val="202124"/>
          <w:shd w:val="clear" w:color="auto" w:fill="FFFFFF"/>
        </w:rPr>
        <w:t>A</w:t>
      </w:r>
      <w:r w:rsidRPr="005A0040">
        <w:rPr>
          <w:rFonts w:ascii="Arial" w:hAnsi="Arial" w:cs="Arial"/>
          <w:color w:val="202124"/>
          <w:shd w:val="clear" w:color="auto" w:fill="FFFFFF"/>
        </w:rPr>
        <w:t xml:space="preserve">pplications of metrology </w:t>
      </w:r>
      <w:r>
        <w:rPr>
          <w:rFonts w:ascii="Arial" w:hAnsi="Arial" w:cs="Arial"/>
          <w:color w:val="202124"/>
          <w:shd w:val="clear" w:color="auto" w:fill="FFFFFF"/>
        </w:rPr>
        <w:t>m</w:t>
      </w:r>
      <w:r w:rsidRPr="005A0040">
        <w:rPr>
          <w:rFonts w:ascii="Arial" w:hAnsi="Arial" w:cs="Arial"/>
          <w:color w:val="202124"/>
          <w:shd w:val="clear" w:color="auto" w:fill="FFFFFF"/>
        </w:rPr>
        <w:t xml:space="preserve">ay include detectors, energy sources, filters, imagers, lasers, process control systems, sensors, waveguides. </w:t>
      </w:r>
    </w:p>
    <w:p w14:paraId="3B6533DB" w14:textId="348333BF" w:rsidR="009C0E87" w:rsidRDefault="009C0E87" w:rsidP="00183067">
      <w:pPr>
        <w:spacing w:line="276" w:lineRule="auto"/>
        <w:rPr>
          <w:rFonts w:ascii="Arial" w:hAnsi="Arial" w:cs="Arial"/>
        </w:rPr>
      </w:pPr>
    </w:p>
    <w:p w14:paraId="301BDC0E" w14:textId="77777777" w:rsidR="0000664F" w:rsidRDefault="008E01BD" w:rsidP="00183067">
      <w:pPr>
        <w:spacing w:line="276" w:lineRule="auto"/>
        <w:rPr>
          <w:rFonts w:ascii="Arial" w:hAnsi="Arial" w:cs="Arial"/>
        </w:rPr>
      </w:pPr>
      <w:r>
        <w:rPr>
          <w:rFonts w:ascii="Arial" w:hAnsi="Arial" w:cs="Arial"/>
        </w:rPr>
        <w:t>NB: The above provides examples but are nor exhaustive and other examples may be appropriate in meeting the described specific terms</w:t>
      </w:r>
    </w:p>
    <w:p w14:paraId="4E6A3B75" w14:textId="77777777" w:rsidR="00D77870" w:rsidRDefault="00D77870">
      <w:pPr>
        <w:rPr>
          <w:rFonts w:ascii="Arial" w:hAnsi="Arial" w:cs="Arial"/>
        </w:rPr>
      </w:pPr>
      <w:r>
        <w:rPr>
          <w:rFonts w:ascii="Arial" w:hAnsi="Arial" w:cs="Arial"/>
        </w:rPr>
        <w:br w:type="page"/>
      </w:r>
    </w:p>
    <w:p w14:paraId="3AE84842" w14:textId="2F153A5D" w:rsidR="0000664F" w:rsidRPr="00D77870" w:rsidRDefault="0000664F" w:rsidP="00D77870">
      <w:pPr>
        <w:rPr>
          <w:rFonts w:ascii="Arial" w:hAnsi="Arial" w:cs="Arial"/>
        </w:rPr>
      </w:pPr>
      <w:r w:rsidRPr="0028346F">
        <w:rPr>
          <w:rFonts w:ascii="Arial" w:eastAsia="Times New Roman" w:hAnsi="Arial" w:cs="Times New Roman"/>
          <w:b/>
          <w:sz w:val="28"/>
          <w:szCs w:val="28"/>
        </w:rPr>
        <w:lastRenderedPageBreak/>
        <w:t xml:space="preserve">Appendix </w:t>
      </w:r>
      <w:r>
        <w:rPr>
          <w:rFonts w:ascii="Arial" w:eastAsia="Times New Roman" w:hAnsi="Arial" w:cs="Times New Roman"/>
          <w:b/>
          <w:sz w:val="28"/>
          <w:szCs w:val="28"/>
        </w:rPr>
        <w:t>2</w:t>
      </w:r>
      <w:r w:rsidRPr="0028346F">
        <w:rPr>
          <w:rFonts w:ascii="Arial" w:eastAsia="Times New Roman" w:hAnsi="Arial" w:cs="Times New Roman"/>
          <w:b/>
          <w:sz w:val="28"/>
          <w:szCs w:val="28"/>
        </w:rPr>
        <w:t xml:space="preserve">- </w:t>
      </w:r>
      <w:r>
        <w:rPr>
          <w:rFonts w:ascii="Arial" w:eastAsia="Times New Roman" w:hAnsi="Arial" w:cs="Times New Roman"/>
          <w:b/>
          <w:sz w:val="28"/>
          <w:szCs w:val="28"/>
        </w:rPr>
        <w:t xml:space="preserve">Technical Requirements for Assessors and </w:t>
      </w:r>
      <w:r w:rsidR="00EB3BCE">
        <w:rPr>
          <w:rFonts w:ascii="Arial" w:eastAsia="Times New Roman" w:hAnsi="Arial" w:cs="Times New Roman"/>
          <w:b/>
          <w:sz w:val="28"/>
          <w:szCs w:val="28"/>
        </w:rPr>
        <w:t>Q</w:t>
      </w:r>
      <w:r>
        <w:rPr>
          <w:rFonts w:ascii="Arial" w:eastAsia="Times New Roman" w:hAnsi="Arial" w:cs="Times New Roman"/>
          <w:b/>
          <w:sz w:val="28"/>
          <w:szCs w:val="28"/>
        </w:rPr>
        <w:t xml:space="preserve">uality </w:t>
      </w:r>
      <w:r w:rsidR="00D9065E">
        <w:rPr>
          <w:rFonts w:ascii="Arial" w:eastAsia="Times New Roman" w:hAnsi="Arial" w:cs="Times New Roman"/>
          <w:b/>
          <w:sz w:val="28"/>
          <w:szCs w:val="28"/>
        </w:rPr>
        <w:t>A</w:t>
      </w:r>
      <w:r>
        <w:rPr>
          <w:rFonts w:ascii="Arial" w:eastAsia="Times New Roman" w:hAnsi="Arial" w:cs="Times New Roman"/>
          <w:b/>
          <w:sz w:val="28"/>
          <w:szCs w:val="28"/>
        </w:rPr>
        <w:t>ssurers</w:t>
      </w:r>
    </w:p>
    <w:p w14:paraId="7A2C0EE7" w14:textId="77777777" w:rsidR="0000664F" w:rsidRPr="0000664F" w:rsidRDefault="0000664F" w:rsidP="0000664F">
      <w:pPr>
        <w:spacing w:line="276" w:lineRule="auto"/>
        <w:rPr>
          <w:rFonts w:ascii="Arial" w:hAnsi="Arial" w:cs="Arial"/>
        </w:rPr>
      </w:pPr>
      <w:r w:rsidRPr="0000664F">
        <w:rPr>
          <w:rFonts w:ascii="Arial" w:hAnsi="Arial" w:cs="Arial"/>
        </w:rPr>
        <w:t>The following tables show the recommended levels of technical competence for assessors, internal and external quality assurers.</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1980"/>
        <w:gridCol w:w="1984"/>
        <w:gridCol w:w="2127"/>
        <w:gridCol w:w="2698"/>
      </w:tblGrid>
      <w:tr w:rsidR="0000664F" w:rsidRPr="0000664F" w14:paraId="571C7FFD" w14:textId="77777777" w:rsidTr="005F5886">
        <w:tc>
          <w:tcPr>
            <w:tcW w:w="1980" w:type="dxa"/>
            <w:tcBorders>
              <w:left w:val="single" w:sz="4" w:space="0" w:color="auto"/>
              <w:bottom w:val="single" w:sz="4" w:space="0" w:color="auto"/>
              <w:right w:val="single" w:sz="4" w:space="0" w:color="auto"/>
            </w:tcBorders>
            <w:shd w:val="clear" w:color="auto" w:fill="E7E6E6" w:themeFill="background2"/>
            <w:vAlign w:val="center"/>
          </w:tcPr>
          <w:p w14:paraId="0744C01D" w14:textId="77777777" w:rsidR="0000664F" w:rsidRPr="0000664F" w:rsidRDefault="0000664F" w:rsidP="005F5886">
            <w:pPr>
              <w:spacing w:after="160" w:line="276" w:lineRule="auto"/>
              <w:rPr>
                <w:rFonts w:ascii="Arial" w:hAnsi="Arial" w:cs="Arial"/>
                <w:b/>
                <w:bCs/>
              </w:rPr>
            </w:pPr>
            <w:r w:rsidRPr="0000664F">
              <w:rPr>
                <w:rFonts w:ascii="Arial" w:hAnsi="Arial" w:cs="Arial"/>
                <w:b/>
                <w:bCs/>
              </w:rPr>
              <w:t>Position</w:t>
            </w:r>
          </w:p>
        </w:tc>
        <w:tc>
          <w:tcPr>
            <w:tcW w:w="1984" w:type="dxa"/>
            <w:tcBorders>
              <w:left w:val="single" w:sz="4" w:space="0" w:color="auto"/>
              <w:bottom w:val="single" w:sz="4" w:space="0" w:color="auto"/>
              <w:right w:val="single" w:sz="4" w:space="0" w:color="auto"/>
            </w:tcBorders>
            <w:shd w:val="clear" w:color="auto" w:fill="E7E6E6" w:themeFill="background2"/>
            <w:vAlign w:val="center"/>
          </w:tcPr>
          <w:p w14:paraId="738AC650" w14:textId="77777777" w:rsidR="0000664F" w:rsidRPr="0000664F" w:rsidRDefault="0000664F" w:rsidP="005F5886">
            <w:pPr>
              <w:spacing w:after="160" w:line="276" w:lineRule="auto"/>
              <w:rPr>
                <w:rFonts w:ascii="Arial" w:hAnsi="Arial" w:cs="Arial"/>
                <w:b/>
                <w:bCs/>
              </w:rPr>
            </w:pPr>
            <w:r w:rsidRPr="0000664F">
              <w:rPr>
                <w:rFonts w:ascii="Arial" w:hAnsi="Arial" w:cs="Arial"/>
                <w:b/>
                <w:bCs/>
              </w:rPr>
              <w:t>Prime activity requirements</w:t>
            </w:r>
          </w:p>
        </w:tc>
        <w:tc>
          <w:tcPr>
            <w:tcW w:w="2127" w:type="dxa"/>
            <w:tcBorders>
              <w:left w:val="single" w:sz="4" w:space="0" w:color="auto"/>
              <w:bottom w:val="single" w:sz="4" w:space="0" w:color="auto"/>
              <w:right w:val="single" w:sz="4" w:space="0" w:color="auto"/>
            </w:tcBorders>
            <w:shd w:val="clear" w:color="auto" w:fill="E7E6E6" w:themeFill="background2"/>
            <w:vAlign w:val="center"/>
          </w:tcPr>
          <w:p w14:paraId="2DE6EA98" w14:textId="77777777" w:rsidR="0000664F" w:rsidRPr="0000664F" w:rsidRDefault="0000664F" w:rsidP="005F5886">
            <w:pPr>
              <w:spacing w:after="160" w:line="276" w:lineRule="auto"/>
              <w:rPr>
                <w:rFonts w:ascii="Arial" w:hAnsi="Arial" w:cs="Arial"/>
                <w:b/>
                <w:bCs/>
              </w:rPr>
            </w:pPr>
            <w:r w:rsidRPr="0000664F">
              <w:rPr>
                <w:rFonts w:ascii="Arial" w:hAnsi="Arial" w:cs="Arial"/>
                <w:b/>
                <w:bCs/>
              </w:rPr>
              <w:t>Support activity requirements</w:t>
            </w:r>
          </w:p>
        </w:tc>
        <w:tc>
          <w:tcPr>
            <w:tcW w:w="2698" w:type="dxa"/>
            <w:tcBorders>
              <w:left w:val="single" w:sz="4" w:space="0" w:color="auto"/>
              <w:bottom w:val="single" w:sz="4" w:space="0" w:color="auto"/>
              <w:right w:val="single" w:sz="4" w:space="0" w:color="auto"/>
            </w:tcBorders>
            <w:shd w:val="clear" w:color="auto" w:fill="E7E6E6" w:themeFill="background2"/>
            <w:vAlign w:val="center"/>
          </w:tcPr>
          <w:p w14:paraId="0EC282B1" w14:textId="77777777" w:rsidR="0000664F" w:rsidRPr="0000664F" w:rsidRDefault="0000664F" w:rsidP="005F5886">
            <w:pPr>
              <w:spacing w:after="160" w:line="276" w:lineRule="auto"/>
              <w:rPr>
                <w:rFonts w:ascii="Arial" w:hAnsi="Arial" w:cs="Arial"/>
                <w:b/>
                <w:bCs/>
              </w:rPr>
            </w:pPr>
            <w:r w:rsidRPr="0000664F">
              <w:rPr>
                <w:rFonts w:ascii="Arial" w:hAnsi="Arial" w:cs="Arial"/>
                <w:b/>
                <w:bCs/>
              </w:rPr>
              <w:t>Technical requirements (see notes)</w:t>
            </w:r>
          </w:p>
        </w:tc>
      </w:tr>
      <w:tr w:rsidR="0000664F" w:rsidRPr="0000664F" w14:paraId="3917E1FC" w14:textId="77777777" w:rsidTr="005F5886">
        <w:tc>
          <w:tcPr>
            <w:tcW w:w="1980" w:type="dxa"/>
            <w:tcBorders>
              <w:left w:val="single" w:sz="4" w:space="0" w:color="auto"/>
              <w:bottom w:val="single" w:sz="4" w:space="0" w:color="auto"/>
              <w:right w:val="single" w:sz="4" w:space="0" w:color="auto"/>
            </w:tcBorders>
            <w:vAlign w:val="center"/>
          </w:tcPr>
          <w:p w14:paraId="7B66F5E2" w14:textId="77777777" w:rsidR="0000664F" w:rsidRPr="0000664F" w:rsidRDefault="0000664F" w:rsidP="0000664F">
            <w:pPr>
              <w:spacing w:after="160" w:line="276" w:lineRule="auto"/>
              <w:rPr>
                <w:rFonts w:ascii="Arial" w:hAnsi="Arial" w:cs="Arial"/>
                <w:b/>
                <w:bCs/>
              </w:rPr>
            </w:pPr>
            <w:r w:rsidRPr="0000664F">
              <w:rPr>
                <w:rFonts w:ascii="Arial" w:hAnsi="Arial" w:cs="Arial"/>
                <w:b/>
                <w:bCs/>
              </w:rPr>
              <w:t>Assessor</w:t>
            </w:r>
          </w:p>
        </w:tc>
        <w:tc>
          <w:tcPr>
            <w:tcW w:w="1984" w:type="dxa"/>
            <w:tcBorders>
              <w:left w:val="single" w:sz="4" w:space="0" w:color="auto"/>
              <w:bottom w:val="single" w:sz="4" w:space="0" w:color="auto"/>
              <w:right w:val="single" w:sz="4" w:space="0" w:color="auto"/>
            </w:tcBorders>
            <w:vAlign w:val="center"/>
          </w:tcPr>
          <w:p w14:paraId="37F3CB4D" w14:textId="77777777" w:rsidR="0000664F" w:rsidRPr="0000664F" w:rsidRDefault="0000664F" w:rsidP="0000664F">
            <w:pPr>
              <w:spacing w:after="160" w:line="276" w:lineRule="auto"/>
              <w:rPr>
                <w:rFonts w:ascii="Arial" w:hAnsi="Arial" w:cs="Arial"/>
              </w:rPr>
            </w:pPr>
            <w:r w:rsidRPr="0000664F">
              <w:rPr>
                <w:rFonts w:ascii="Arial" w:hAnsi="Arial" w:cs="Arial"/>
              </w:rPr>
              <w:t>Assessment skills</w:t>
            </w:r>
          </w:p>
        </w:tc>
        <w:tc>
          <w:tcPr>
            <w:tcW w:w="2127" w:type="dxa"/>
            <w:tcBorders>
              <w:left w:val="single" w:sz="4" w:space="0" w:color="auto"/>
              <w:bottom w:val="single" w:sz="4" w:space="0" w:color="auto"/>
              <w:right w:val="single" w:sz="4" w:space="0" w:color="auto"/>
            </w:tcBorders>
            <w:vAlign w:val="center"/>
          </w:tcPr>
          <w:p w14:paraId="1ECB078A" w14:textId="77777777" w:rsidR="0000664F" w:rsidRPr="0000664F" w:rsidRDefault="0000664F" w:rsidP="0000664F">
            <w:pPr>
              <w:spacing w:after="160" w:line="276" w:lineRule="auto"/>
              <w:rPr>
                <w:rFonts w:ascii="Arial" w:hAnsi="Arial" w:cs="Arial"/>
              </w:rPr>
            </w:pPr>
            <w:r w:rsidRPr="0000664F">
              <w:rPr>
                <w:rFonts w:ascii="Arial" w:hAnsi="Arial" w:cs="Arial"/>
              </w:rPr>
              <w:t>Internal Quality Assurance Systems</w:t>
            </w:r>
          </w:p>
        </w:tc>
        <w:tc>
          <w:tcPr>
            <w:tcW w:w="2698" w:type="dxa"/>
            <w:tcBorders>
              <w:left w:val="single" w:sz="4" w:space="0" w:color="auto"/>
              <w:bottom w:val="single" w:sz="4" w:space="0" w:color="auto"/>
              <w:right w:val="single" w:sz="4" w:space="0" w:color="auto"/>
            </w:tcBorders>
            <w:vAlign w:val="center"/>
          </w:tcPr>
          <w:p w14:paraId="6DED064E" w14:textId="77777777" w:rsidR="0000664F" w:rsidRPr="0000664F" w:rsidRDefault="0000664F" w:rsidP="0000664F">
            <w:pPr>
              <w:spacing w:after="160" w:line="276" w:lineRule="auto"/>
              <w:rPr>
                <w:rFonts w:ascii="Arial" w:hAnsi="Arial" w:cs="Arial"/>
              </w:rPr>
            </w:pPr>
            <w:r w:rsidRPr="0000664F">
              <w:rPr>
                <w:rFonts w:ascii="Arial" w:hAnsi="Arial" w:cs="Arial"/>
              </w:rPr>
              <w:t>Technical competence in the areas covered by the units being assessed</w:t>
            </w:r>
          </w:p>
        </w:tc>
      </w:tr>
      <w:tr w:rsidR="0000664F" w:rsidRPr="0000664F" w14:paraId="14AF2FD5" w14:textId="77777777" w:rsidTr="005F5886">
        <w:tc>
          <w:tcPr>
            <w:tcW w:w="1980" w:type="dxa"/>
            <w:tcBorders>
              <w:left w:val="single" w:sz="4" w:space="0" w:color="auto"/>
              <w:bottom w:val="single" w:sz="4" w:space="0" w:color="auto"/>
              <w:right w:val="single" w:sz="4" w:space="0" w:color="auto"/>
            </w:tcBorders>
            <w:vAlign w:val="center"/>
          </w:tcPr>
          <w:p w14:paraId="64455FEE" w14:textId="09E2A2F9" w:rsidR="0000664F" w:rsidRPr="0000664F" w:rsidRDefault="0000664F" w:rsidP="0000664F">
            <w:pPr>
              <w:spacing w:after="160" w:line="276" w:lineRule="auto"/>
              <w:rPr>
                <w:rFonts w:ascii="Arial" w:hAnsi="Arial" w:cs="Arial"/>
                <w:b/>
                <w:bCs/>
              </w:rPr>
            </w:pPr>
            <w:r w:rsidRPr="0000664F">
              <w:rPr>
                <w:rFonts w:ascii="Arial" w:hAnsi="Arial" w:cs="Arial"/>
                <w:b/>
                <w:bCs/>
              </w:rPr>
              <w:t>Internal Quality Assurer</w:t>
            </w:r>
            <w:r w:rsidR="005F5886">
              <w:rPr>
                <w:rFonts w:ascii="Arial" w:hAnsi="Arial" w:cs="Arial"/>
                <w:b/>
                <w:bCs/>
              </w:rPr>
              <w:t xml:space="preserve"> (IQA)</w:t>
            </w:r>
          </w:p>
        </w:tc>
        <w:tc>
          <w:tcPr>
            <w:tcW w:w="1984" w:type="dxa"/>
            <w:tcBorders>
              <w:left w:val="single" w:sz="4" w:space="0" w:color="auto"/>
              <w:bottom w:val="single" w:sz="4" w:space="0" w:color="auto"/>
              <w:right w:val="single" w:sz="4" w:space="0" w:color="auto"/>
            </w:tcBorders>
            <w:vAlign w:val="center"/>
          </w:tcPr>
          <w:p w14:paraId="547E1011" w14:textId="70A6620E" w:rsidR="0000664F" w:rsidRPr="0000664F" w:rsidRDefault="0000664F" w:rsidP="0000664F">
            <w:pPr>
              <w:spacing w:after="160" w:line="276" w:lineRule="auto"/>
              <w:rPr>
                <w:rFonts w:ascii="Arial" w:hAnsi="Arial" w:cs="Arial"/>
              </w:rPr>
            </w:pPr>
            <w:r w:rsidRPr="0000664F">
              <w:rPr>
                <w:rFonts w:ascii="Arial" w:hAnsi="Arial" w:cs="Arial"/>
              </w:rPr>
              <w:t xml:space="preserve">Internal </w:t>
            </w:r>
            <w:r>
              <w:rPr>
                <w:rFonts w:ascii="Arial" w:hAnsi="Arial" w:cs="Arial"/>
              </w:rPr>
              <w:t>Quality Assurance skills</w:t>
            </w:r>
          </w:p>
        </w:tc>
        <w:tc>
          <w:tcPr>
            <w:tcW w:w="2127" w:type="dxa"/>
            <w:tcBorders>
              <w:left w:val="single" w:sz="4" w:space="0" w:color="auto"/>
              <w:bottom w:val="single" w:sz="4" w:space="0" w:color="auto"/>
              <w:right w:val="single" w:sz="4" w:space="0" w:color="auto"/>
            </w:tcBorders>
            <w:vAlign w:val="center"/>
          </w:tcPr>
          <w:p w14:paraId="033B3784" w14:textId="77777777" w:rsidR="0000664F" w:rsidRPr="0000664F" w:rsidRDefault="0000664F" w:rsidP="0000664F">
            <w:pPr>
              <w:spacing w:after="160" w:line="276" w:lineRule="auto"/>
              <w:rPr>
                <w:rFonts w:ascii="Arial" w:hAnsi="Arial" w:cs="Arial"/>
              </w:rPr>
            </w:pPr>
            <w:r w:rsidRPr="0000664F">
              <w:rPr>
                <w:rFonts w:ascii="Arial" w:hAnsi="Arial" w:cs="Arial"/>
              </w:rPr>
              <w:t>Assessment knowledge</w:t>
            </w:r>
          </w:p>
        </w:tc>
        <w:tc>
          <w:tcPr>
            <w:tcW w:w="2698" w:type="dxa"/>
            <w:tcBorders>
              <w:left w:val="single" w:sz="4" w:space="0" w:color="auto"/>
              <w:bottom w:val="single" w:sz="4" w:space="0" w:color="auto"/>
              <w:right w:val="single" w:sz="4" w:space="0" w:color="auto"/>
            </w:tcBorders>
            <w:vAlign w:val="center"/>
          </w:tcPr>
          <w:p w14:paraId="11CD868B" w14:textId="77777777" w:rsidR="0000664F" w:rsidRPr="0000664F" w:rsidRDefault="0000664F" w:rsidP="0000664F">
            <w:pPr>
              <w:spacing w:after="160" w:line="276" w:lineRule="auto"/>
              <w:rPr>
                <w:rFonts w:ascii="Arial" w:hAnsi="Arial" w:cs="Arial"/>
              </w:rPr>
            </w:pPr>
            <w:r w:rsidRPr="0000664F">
              <w:rPr>
                <w:rFonts w:ascii="Arial" w:hAnsi="Arial" w:cs="Arial"/>
              </w:rPr>
              <w:t>Technical understanding of the areas covered by the qualification</w:t>
            </w:r>
          </w:p>
        </w:tc>
      </w:tr>
      <w:tr w:rsidR="0000664F" w:rsidRPr="0000664F" w14:paraId="5992A07A" w14:textId="77777777" w:rsidTr="005F5886">
        <w:tc>
          <w:tcPr>
            <w:tcW w:w="1980" w:type="dxa"/>
            <w:tcBorders>
              <w:left w:val="single" w:sz="4" w:space="0" w:color="auto"/>
              <w:right w:val="single" w:sz="4" w:space="0" w:color="auto"/>
            </w:tcBorders>
            <w:vAlign w:val="center"/>
          </w:tcPr>
          <w:p w14:paraId="1FCAC4BD" w14:textId="77777777" w:rsidR="0000664F" w:rsidRPr="0000664F" w:rsidRDefault="0000664F" w:rsidP="0000664F">
            <w:pPr>
              <w:spacing w:after="160" w:line="276" w:lineRule="auto"/>
              <w:rPr>
                <w:rFonts w:ascii="Arial" w:hAnsi="Arial" w:cs="Arial"/>
                <w:b/>
                <w:bCs/>
              </w:rPr>
            </w:pPr>
            <w:r w:rsidRPr="0000664F">
              <w:rPr>
                <w:rFonts w:ascii="Arial" w:hAnsi="Arial" w:cs="Arial"/>
                <w:b/>
                <w:bCs/>
              </w:rPr>
              <w:t>External Quality Assurer (EQA)</w:t>
            </w:r>
          </w:p>
        </w:tc>
        <w:tc>
          <w:tcPr>
            <w:tcW w:w="1984" w:type="dxa"/>
            <w:tcBorders>
              <w:left w:val="single" w:sz="4" w:space="0" w:color="auto"/>
              <w:right w:val="single" w:sz="4" w:space="0" w:color="auto"/>
            </w:tcBorders>
            <w:vAlign w:val="center"/>
          </w:tcPr>
          <w:p w14:paraId="40EA4FA4" w14:textId="6FCA6A02" w:rsidR="0000664F" w:rsidRPr="0000664F" w:rsidRDefault="0000664F" w:rsidP="0000664F">
            <w:pPr>
              <w:spacing w:after="160" w:line="276" w:lineRule="auto"/>
              <w:rPr>
                <w:rFonts w:ascii="Arial" w:hAnsi="Arial" w:cs="Arial"/>
              </w:rPr>
            </w:pPr>
            <w:r>
              <w:rPr>
                <w:rFonts w:ascii="Arial" w:hAnsi="Arial" w:cs="Arial"/>
              </w:rPr>
              <w:t xml:space="preserve">External </w:t>
            </w:r>
            <w:r w:rsidRPr="0000664F">
              <w:rPr>
                <w:rFonts w:ascii="Arial" w:hAnsi="Arial" w:cs="Arial"/>
              </w:rPr>
              <w:t>Quality Assurance skills</w:t>
            </w:r>
          </w:p>
        </w:tc>
        <w:tc>
          <w:tcPr>
            <w:tcW w:w="2127" w:type="dxa"/>
            <w:tcBorders>
              <w:left w:val="single" w:sz="4" w:space="0" w:color="auto"/>
              <w:right w:val="single" w:sz="4" w:space="0" w:color="auto"/>
            </w:tcBorders>
            <w:vAlign w:val="center"/>
          </w:tcPr>
          <w:p w14:paraId="77FE1D44" w14:textId="77777777" w:rsidR="0000664F" w:rsidRPr="0000664F" w:rsidRDefault="0000664F" w:rsidP="0000664F">
            <w:pPr>
              <w:spacing w:after="160" w:line="276" w:lineRule="auto"/>
              <w:rPr>
                <w:rFonts w:ascii="Arial" w:hAnsi="Arial" w:cs="Arial"/>
              </w:rPr>
            </w:pPr>
            <w:r w:rsidRPr="0000664F">
              <w:rPr>
                <w:rFonts w:ascii="Arial" w:hAnsi="Arial" w:cs="Arial"/>
              </w:rPr>
              <w:t>Assessment understanding</w:t>
            </w:r>
          </w:p>
        </w:tc>
        <w:tc>
          <w:tcPr>
            <w:tcW w:w="2698" w:type="dxa"/>
            <w:tcBorders>
              <w:left w:val="single" w:sz="4" w:space="0" w:color="auto"/>
              <w:right w:val="single" w:sz="4" w:space="0" w:color="auto"/>
            </w:tcBorders>
            <w:vAlign w:val="center"/>
          </w:tcPr>
          <w:p w14:paraId="6AB5BFF9" w14:textId="77777777" w:rsidR="0000664F" w:rsidRPr="0000664F" w:rsidRDefault="0000664F" w:rsidP="0000664F">
            <w:pPr>
              <w:spacing w:after="160" w:line="276" w:lineRule="auto"/>
              <w:rPr>
                <w:rFonts w:ascii="Arial" w:hAnsi="Arial" w:cs="Arial"/>
              </w:rPr>
            </w:pPr>
            <w:r w:rsidRPr="0000664F">
              <w:rPr>
                <w:rFonts w:ascii="Arial" w:hAnsi="Arial" w:cs="Arial"/>
              </w:rPr>
              <w:t>Technical awareness of the areas covered by the qualification</w:t>
            </w:r>
          </w:p>
        </w:tc>
      </w:tr>
    </w:tbl>
    <w:p w14:paraId="69234D2C" w14:textId="77777777" w:rsidR="0000664F" w:rsidRPr="0000664F" w:rsidRDefault="0000664F" w:rsidP="0000664F">
      <w:pPr>
        <w:spacing w:line="276" w:lineRule="auto"/>
        <w:rPr>
          <w:rFonts w:ascii="Arial" w:hAnsi="Arial" w:cs="Arial"/>
          <w:b/>
          <w:bCs/>
        </w:rPr>
      </w:pPr>
      <w:r w:rsidRPr="0000664F">
        <w:rPr>
          <w:rFonts w:ascii="Arial" w:hAnsi="Arial" w:cs="Arial"/>
          <w:b/>
          <w:bCs/>
        </w:rPr>
        <w:t>Notes:</w:t>
      </w:r>
    </w:p>
    <w:p w14:paraId="482A9C35" w14:textId="4540675D" w:rsidR="0000664F" w:rsidRPr="0000664F" w:rsidRDefault="0000664F" w:rsidP="004E2CF0">
      <w:pPr>
        <w:numPr>
          <w:ilvl w:val="0"/>
          <w:numId w:val="24"/>
        </w:numPr>
        <w:spacing w:line="276" w:lineRule="auto"/>
        <w:rPr>
          <w:rFonts w:ascii="Arial" w:hAnsi="Arial" w:cs="Arial"/>
        </w:rPr>
      </w:pPr>
      <w:r w:rsidRPr="0000664F">
        <w:rPr>
          <w:rFonts w:ascii="Arial" w:hAnsi="Arial" w:cs="Arial"/>
        </w:rPr>
        <w:t>Technical competence is defined here as a combination of practical skills, knowledge, and the ability to apply both, in familiar and new situations, within a real working environment.</w:t>
      </w:r>
    </w:p>
    <w:p w14:paraId="0B2CBC36" w14:textId="27A860CF" w:rsidR="0000664F" w:rsidRPr="0000664F" w:rsidRDefault="0000664F" w:rsidP="00D03E6A">
      <w:pPr>
        <w:numPr>
          <w:ilvl w:val="0"/>
          <w:numId w:val="24"/>
        </w:numPr>
        <w:spacing w:line="276" w:lineRule="auto"/>
        <w:rPr>
          <w:rFonts w:ascii="Arial" w:hAnsi="Arial" w:cs="Arial"/>
        </w:rPr>
      </w:pPr>
      <w:r w:rsidRPr="0000664F">
        <w:rPr>
          <w:rFonts w:ascii="Arial" w:hAnsi="Arial" w:cs="Arial"/>
        </w:rPr>
        <w:t>Technical understanding is defined here as having a good understanding of the technical activities being assessed, together with knowledge of relevant Health &amp; Safety implications and requirements of the assessments.</w:t>
      </w:r>
    </w:p>
    <w:p w14:paraId="1ABF8D78" w14:textId="071F45F0" w:rsidR="0000664F" w:rsidRPr="0000664F" w:rsidRDefault="0000664F" w:rsidP="003E0580">
      <w:pPr>
        <w:numPr>
          <w:ilvl w:val="0"/>
          <w:numId w:val="24"/>
        </w:numPr>
        <w:spacing w:line="276" w:lineRule="auto"/>
        <w:rPr>
          <w:rFonts w:ascii="Arial" w:hAnsi="Arial" w:cs="Arial"/>
        </w:rPr>
      </w:pPr>
      <w:r w:rsidRPr="0000664F">
        <w:rPr>
          <w:rFonts w:ascii="Arial" w:hAnsi="Arial" w:cs="Arial"/>
        </w:rPr>
        <w:t>Technical awareness is defined here as a general overview of the subject area, sufficient to ensure that assessment and evidence are reliable, and that relevant Health and Safety requirements have been complied with.</w:t>
      </w:r>
    </w:p>
    <w:p w14:paraId="22576495" w14:textId="47FE09BF" w:rsidR="0000664F" w:rsidRPr="0000664F" w:rsidRDefault="0000664F" w:rsidP="00224833">
      <w:pPr>
        <w:numPr>
          <w:ilvl w:val="0"/>
          <w:numId w:val="24"/>
        </w:numPr>
        <w:spacing w:line="276" w:lineRule="auto"/>
        <w:rPr>
          <w:rFonts w:ascii="Arial" w:hAnsi="Arial" w:cs="Arial"/>
        </w:rPr>
      </w:pPr>
      <w:r w:rsidRPr="0000664F">
        <w:rPr>
          <w:rFonts w:ascii="Arial" w:hAnsi="Arial" w:cs="Arial"/>
        </w:rPr>
        <w:t xml:space="preserve">The competence required by the assessor, internal verifier, and external quality assurer, in the occupational area being assessed, is likely to exist at three levels as indicated by the shaded zones in the following table. </w:t>
      </w:r>
    </w:p>
    <w:tbl>
      <w:tblPr>
        <w:tblStyle w:val="TableGrid"/>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2254"/>
        <w:gridCol w:w="2254"/>
        <w:gridCol w:w="2254"/>
        <w:gridCol w:w="2254"/>
      </w:tblGrid>
      <w:tr w:rsidR="0000664F" w:rsidRPr="0000664F" w14:paraId="22F8DDD2" w14:textId="77777777" w:rsidTr="00BB0BA7">
        <w:trPr>
          <w:trHeight w:val="1196"/>
        </w:trPr>
        <w:tc>
          <w:tcPr>
            <w:tcW w:w="2254" w:type="dxa"/>
            <w:tcBorders>
              <w:left w:val="single" w:sz="4" w:space="0" w:color="auto"/>
              <w:bottom w:val="single" w:sz="4" w:space="0" w:color="auto"/>
              <w:right w:val="single" w:sz="4" w:space="0" w:color="auto"/>
            </w:tcBorders>
            <w:shd w:val="clear" w:color="auto" w:fill="E7E6E6" w:themeFill="background2"/>
          </w:tcPr>
          <w:p w14:paraId="0DBA748F" w14:textId="148E69AE" w:rsidR="0000664F" w:rsidRPr="0000664F" w:rsidRDefault="0000664F" w:rsidP="00AC602C">
            <w:pPr>
              <w:spacing w:after="160" w:line="276" w:lineRule="auto"/>
              <w:rPr>
                <w:rFonts w:ascii="Arial" w:hAnsi="Arial" w:cs="Arial"/>
                <w:b/>
                <w:bCs/>
              </w:rPr>
            </w:pPr>
            <w:r w:rsidRPr="0000664F">
              <w:rPr>
                <w:rFonts w:ascii="Arial" w:hAnsi="Arial" w:cs="Arial"/>
                <w:b/>
                <w:bCs/>
              </w:rPr>
              <w:t>Technical</w:t>
            </w:r>
            <w:r w:rsidR="00AC602C">
              <w:rPr>
                <w:rFonts w:ascii="Arial" w:hAnsi="Arial" w:cs="Arial"/>
                <w:b/>
                <w:bCs/>
              </w:rPr>
              <w:t xml:space="preserve"> </w:t>
            </w:r>
            <w:r w:rsidRPr="0000664F">
              <w:rPr>
                <w:rFonts w:ascii="Arial" w:hAnsi="Arial" w:cs="Arial"/>
                <w:b/>
                <w:bCs/>
              </w:rPr>
              <w:t>competence</w:t>
            </w:r>
          </w:p>
          <w:p w14:paraId="45164FEA" w14:textId="77777777" w:rsidR="0000664F" w:rsidRPr="0000664F" w:rsidRDefault="0000664F" w:rsidP="0000664F">
            <w:pPr>
              <w:spacing w:after="160" w:line="276" w:lineRule="auto"/>
              <w:rPr>
                <w:rFonts w:ascii="Arial" w:hAnsi="Arial" w:cs="Arial"/>
              </w:rPr>
            </w:pPr>
          </w:p>
          <w:p w14:paraId="0404A62B" w14:textId="042A0759" w:rsidR="0000664F" w:rsidRPr="0000664F" w:rsidRDefault="0000664F" w:rsidP="0000664F">
            <w:pPr>
              <w:spacing w:after="160" w:line="276" w:lineRule="auto"/>
              <w:rPr>
                <w:rFonts w:ascii="Arial" w:hAnsi="Arial" w:cs="Arial"/>
                <w:b/>
                <w:bCs/>
              </w:rPr>
            </w:pPr>
            <w:r w:rsidRPr="0000664F">
              <w:rPr>
                <w:rFonts w:ascii="Arial" w:hAnsi="Arial" w:cs="Arial"/>
                <w:b/>
                <w:bCs/>
              </w:rPr>
              <w:t>Job role</w:t>
            </w:r>
          </w:p>
        </w:tc>
        <w:tc>
          <w:tcPr>
            <w:tcW w:w="2254" w:type="dxa"/>
            <w:tcBorders>
              <w:left w:val="single" w:sz="4" w:space="0" w:color="auto"/>
              <w:bottom w:val="single" w:sz="4" w:space="0" w:color="auto"/>
              <w:right w:val="single" w:sz="4" w:space="0" w:color="auto"/>
            </w:tcBorders>
            <w:shd w:val="clear" w:color="auto" w:fill="E7E6E6" w:themeFill="background2"/>
          </w:tcPr>
          <w:p w14:paraId="41677126" w14:textId="77777777" w:rsidR="0000664F" w:rsidRPr="0000664F" w:rsidRDefault="0000664F" w:rsidP="0000664F">
            <w:pPr>
              <w:spacing w:after="160" w:line="276" w:lineRule="auto"/>
              <w:rPr>
                <w:rFonts w:ascii="Arial" w:hAnsi="Arial" w:cs="Arial"/>
              </w:rPr>
            </w:pPr>
            <w:r w:rsidRPr="0000664F">
              <w:rPr>
                <w:rFonts w:ascii="Arial" w:hAnsi="Arial" w:cs="Arial"/>
              </w:rPr>
              <w:t xml:space="preserve">An ability to </w:t>
            </w:r>
            <w:r w:rsidRPr="0000664F">
              <w:rPr>
                <w:rFonts w:ascii="Arial" w:hAnsi="Arial" w:cs="Arial"/>
                <w:b/>
                <w:bCs/>
              </w:rPr>
              <w:t>discuss</w:t>
            </w:r>
            <w:r w:rsidRPr="0000664F">
              <w:rPr>
                <w:rFonts w:ascii="Arial" w:hAnsi="Arial" w:cs="Arial"/>
              </w:rPr>
              <w:t xml:space="preserve"> the general principles of the competences being assessed</w:t>
            </w:r>
          </w:p>
        </w:tc>
        <w:tc>
          <w:tcPr>
            <w:tcW w:w="2254" w:type="dxa"/>
            <w:tcBorders>
              <w:left w:val="single" w:sz="4" w:space="0" w:color="auto"/>
              <w:bottom w:val="single" w:sz="4" w:space="0" w:color="auto"/>
              <w:right w:val="single" w:sz="4" w:space="0" w:color="auto"/>
            </w:tcBorders>
            <w:shd w:val="clear" w:color="auto" w:fill="E7E6E6" w:themeFill="background2"/>
          </w:tcPr>
          <w:p w14:paraId="386C9B1E" w14:textId="77777777" w:rsidR="0000664F" w:rsidRPr="0000664F" w:rsidRDefault="0000664F" w:rsidP="0000664F">
            <w:pPr>
              <w:spacing w:after="160" w:line="276" w:lineRule="auto"/>
              <w:rPr>
                <w:rFonts w:ascii="Arial" w:hAnsi="Arial" w:cs="Arial"/>
              </w:rPr>
            </w:pPr>
            <w:r w:rsidRPr="0000664F">
              <w:rPr>
                <w:rFonts w:ascii="Arial" w:hAnsi="Arial" w:cs="Arial"/>
              </w:rPr>
              <w:t xml:space="preserve">An ability to </w:t>
            </w:r>
            <w:r w:rsidRPr="0000664F">
              <w:rPr>
                <w:rFonts w:ascii="Arial" w:hAnsi="Arial" w:cs="Arial"/>
                <w:b/>
                <w:bCs/>
              </w:rPr>
              <w:t>describe</w:t>
            </w:r>
            <w:r w:rsidRPr="0000664F">
              <w:rPr>
                <w:rFonts w:ascii="Arial" w:hAnsi="Arial" w:cs="Arial"/>
              </w:rPr>
              <w:t xml:space="preserve"> the practical aspects of the competences being assessed</w:t>
            </w:r>
          </w:p>
        </w:tc>
        <w:tc>
          <w:tcPr>
            <w:tcW w:w="2254" w:type="dxa"/>
            <w:tcBorders>
              <w:left w:val="single" w:sz="4" w:space="0" w:color="auto"/>
              <w:bottom w:val="single" w:sz="4" w:space="0" w:color="auto"/>
              <w:right w:val="single" w:sz="4" w:space="0" w:color="auto"/>
            </w:tcBorders>
            <w:shd w:val="clear" w:color="auto" w:fill="E7E6E6" w:themeFill="background2"/>
          </w:tcPr>
          <w:p w14:paraId="39879F59" w14:textId="77777777" w:rsidR="0000664F" w:rsidRPr="0000664F" w:rsidRDefault="0000664F" w:rsidP="0000664F">
            <w:pPr>
              <w:spacing w:after="160" w:line="276" w:lineRule="auto"/>
              <w:rPr>
                <w:rFonts w:ascii="Arial" w:hAnsi="Arial" w:cs="Arial"/>
              </w:rPr>
            </w:pPr>
            <w:r w:rsidRPr="0000664F">
              <w:rPr>
                <w:rFonts w:ascii="Arial" w:hAnsi="Arial" w:cs="Arial"/>
              </w:rPr>
              <w:t xml:space="preserve">An ability to </w:t>
            </w:r>
            <w:r w:rsidRPr="0000664F">
              <w:rPr>
                <w:rFonts w:ascii="Arial" w:hAnsi="Arial" w:cs="Arial"/>
                <w:b/>
                <w:bCs/>
              </w:rPr>
              <w:t xml:space="preserve">demonstrate </w:t>
            </w:r>
            <w:r w:rsidRPr="0000664F">
              <w:rPr>
                <w:rFonts w:ascii="Arial" w:hAnsi="Arial" w:cs="Arial"/>
              </w:rPr>
              <w:t>the practical competences being assessed</w:t>
            </w:r>
          </w:p>
        </w:tc>
      </w:tr>
      <w:tr w:rsidR="0000664F" w:rsidRPr="0000664F" w14:paraId="6A78E867" w14:textId="77777777" w:rsidTr="00BB0BA7">
        <w:trPr>
          <w:trHeight w:val="491"/>
        </w:trPr>
        <w:tc>
          <w:tcPr>
            <w:tcW w:w="2254" w:type="dxa"/>
            <w:tcBorders>
              <w:left w:val="single" w:sz="4" w:space="0" w:color="auto"/>
              <w:bottom w:val="single" w:sz="4" w:space="0" w:color="auto"/>
              <w:right w:val="single" w:sz="4" w:space="0" w:color="auto"/>
            </w:tcBorders>
            <w:vAlign w:val="center"/>
          </w:tcPr>
          <w:p w14:paraId="40627584" w14:textId="77777777" w:rsidR="0000664F" w:rsidRPr="0000664F" w:rsidRDefault="0000664F" w:rsidP="0000664F">
            <w:pPr>
              <w:spacing w:after="160" w:line="276" w:lineRule="auto"/>
              <w:rPr>
                <w:rFonts w:ascii="Arial" w:hAnsi="Arial" w:cs="Arial"/>
              </w:rPr>
            </w:pPr>
            <w:r w:rsidRPr="0000664F">
              <w:rPr>
                <w:rFonts w:ascii="Arial" w:hAnsi="Arial" w:cs="Arial"/>
              </w:rPr>
              <w:t>Assessor</w:t>
            </w:r>
          </w:p>
        </w:tc>
        <w:tc>
          <w:tcPr>
            <w:tcW w:w="2254" w:type="dxa"/>
            <w:tcBorders>
              <w:left w:val="single" w:sz="4" w:space="0" w:color="auto"/>
              <w:bottom w:val="single" w:sz="4" w:space="0" w:color="auto"/>
              <w:right w:val="single" w:sz="4" w:space="0" w:color="auto"/>
            </w:tcBorders>
            <w:shd w:val="clear" w:color="auto" w:fill="E7E6E6" w:themeFill="background2"/>
          </w:tcPr>
          <w:p w14:paraId="1C431396" w14:textId="77777777" w:rsidR="0000664F" w:rsidRPr="0000664F" w:rsidRDefault="0000664F" w:rsidP="0000664F">
            <w:pPr>
              <w:spacing w:after="160" w:line="276" w:lineRule="auto"/>
              <w:rPr>
                <w:rFonts w:ascii="Arial" w:hAnsi="Arial" w:cs="Arial"/>
              </w:rPr>
            </w:pPr>
          </w:p>
        </w:tc>
        <w:tc>
          <w:tcPr>
            <w:tcW w:w="2254" w:type="dxa"/>
            <w:tcBorders>
              <w:left w:val="single" w:sz="4" w:space="0" w:color="auto"/>
              <w:right w:val="single" w:sz="4" w:space="0" w:color="auto"/>
            </w:tcBorders>
            <w:shd w:val="clear" w:color="auto" w:fill="E7E6E6" w:themeFill="background2"/>
          </w:tcPr>
          <w:p w14:paraId="545311AC" w14:textId="77777777" w:rsidR="0000664F" w:rsidRPr="0000664F" w:rsidRDefault="0000664F" w:rsidP="0000664F">
            <w:pPr>
              <w:spacing w:after="160" w:line="276" w:lineRule="auto"/>
              <w:rPr>
                <w:rFonts w:ascii="Arial" w:hAnsi="Arial" w:cs="Arial"/>
              </w:rPr>
            </w:pPr>
          </w:p>
        </w:tc>
        <w:tc>
          <w:tcPr>
            <w:tcW w:w="2254" w:type="dxa"/>
            <w:tcBorders>
              <w:left w:val="single" w:sz="4" w:space="0" w:color="auto"/>
              <w:bottom w:val="single" w:sz="4" w:space="0" w:color="auto"/>
              <w:right w:val="single" w:sz="4" w:space="0" w:color="auto"/>
            </w:tcBorders>
            <w:shd w:val="clear" w:color="auto" w:fill="E7E6E6" w:themeFill="background2"/>
          </w:tcPr>
          <w:p w14:paraId="11D9C576" w14:textId="77777777" w:rsidR="0000664F" w:rsidRPr="0000664F" w:rsidRDefault="0000664F" w:rsidP="0000664F">
            <w:pPr>
              <w:spacing w:after="160" w:line="276" w:lineRule="auto"/>
              <w:rPr>
                <w:rFonts w:ascii="Arial" w:hAnsi="Arial" w:cs="Arial"/>
              </w:rPr>
            </w:pPr>
          </w:p>
        </w:tc>
      </w:tr>
      <w:tr w:rsidR="0000664F" w:rsidRPr="0000664F" w14:paraId="3587B522" w14:textId="77777777" w:rsidTr="00BB0BA7">
        <w:trPr>
          <w:trHeight w:val="568"/>
        </w:trPr>
        <w:tc>
          <w:tcPr>
            <w:tcW w:w="2254" w:type="dxa"/>
            <w:tcBorders>
              <w:left w:val="single" w:sz="4" w:space="0" w:color="auto"/>
              <w:bottom w:val="single" w:sz="4" w:space="0" w:color="auto"/>
              <w:right w:val="single" w:sz="4" w:space="0" w:color="auto"/>
            </w:tcBorders>
            <w:vAlign w:val="center"/>
          </w:tcPr>
          <w:p w14:paraId="3B789B86" w14:textId="2F512193" w:rsidR="0000664F" w:rsidRPr="0000664F" w:rsidRDefault="0000664F" w:rsidP="0000664F">
            <w:pPr>
              <w:spacing w:after="160" w:line="276" w:lineRule="auto"/>
              <w:rPr>
                <w:rFonts w:ascii="Arial" w:hAnsi="Arial" w:cs="Arial"/>
              </w:rPr>
            </w:pPr>
            <w:r w:rsidRPr="0000664F">
              <w:rPr>
                <w:rFonts w:ascii="Arial" w:hAnsi="Arial" w:cs="Arial"/>
              </w:rPr>
              <w:t>Internal</w:t>
            </w:r>
            <w:r w:rsidR="00EB3BCE">
              <w:rPr>
                <w:rFonts w:ascii="Arial" w:hAnsi="Arial" w:cs="Arial"/>
              </w:rPr>
              <w:t xml:space="preserve"> Quality Assurer</w:t>
            </w:r>
          </w:p>
        </w:tc>
        <w:tc>
          <w:tcPr>
            <w:tcW w:w="2254" w:type="dxa"/>
            <w:tcBorders>
              <w:left w:val="single" w:sz="4" w:space="0" w:color="auto"/>
              <w:bottom w:val="single" w:sz="4" w:space="0" w:color="auto"/>
              <w:right w:val="single" w:sz="4" w:space="0" w:color="auto"/>
            </w:tcBorders>
            <w:shd w:val="clear" w:color="auto" w:fill="E7E6E6" w:themeFill="background2"/>
          </w:tcPr>
          <w:p w14:paraId="1CF330EF" w14:textId="77777777" w:rsidR="0000664F" w:rsidRPr="0000664F" w:rsidRDefault="0000664F" w:rsidP="0000664F">
            <w:pPr>
              <w:spacing w:after="160" w:line="276" w:lineRule="auto"/>
              <w:rPr>
                <w:rFonts w:ascii="Arial" w:hAnsi="Arial" w:cs="Arial"/>
              </w:rPr>
            </w:pPr>
          </w:p>
        </w:tc>
        <w:tc>
          <w:tcPr>
            <w:tcW w:w="2254" w:type="dxa"/>
            <w:tcBorders>
              <w:left w:val="single" w:sz="4" w:space="0" w:color="auto"/>
              <w:bottom w:val="single" w:sz="4" w:space="0" w:color="auto"/>
              <w:right w:val="single" w:sz="4" w:space="0" w:color="auto"/>
            </w:tcBorders>
            <w:shd w:val="clear" w:color="auto" w:fill="E7E6E6" w:themeFill="background2"/>
          </w:tcPr>
          <w:p w14:paraId="38A8FEB7" w14:textId="77777777" w:rsidR="0000664F" w:rsidRPr="0000664F" w:rsidRDefault="0000664F" w:rsidP="0000664F">
            <w:pPr>
              <w:spacing w:after="160" w:line="276" w:lineRule="auto"/>
              <w:rPr>
                <w:rFonts w:ascii="Arial" w:hAnsi="Arial" w:cs="Arial"/>
              </w:rPr>
            </w:pPr>
          </w:p>
        </w:tc>
        <w:tc>
          <w:tcPr>
            <w:tcW w:w="2254" w:type="dxa"/>
            <w:tcBorders>
              <w:left w:val="single" w:sz="4" w:space="0" w:color="auto"/>
              <w:bottom w:val="single" w:sz="4" w:space="0" w:color="auto"/>
              <w:right w:val="single" w:sz="4" w:space="0" w:color="auto"/>
            </w:tcBorders>
          </w:tcPr>
          <w:p w14:paraId="46408DAB" w14:textId="77777777" w:rsidR="0000664F" w:rsidRPr="0000664F" w:rsidRDefault="0000664F" w:rsidP="0000664F">
            <w:pPr>
              <w:spacing w:after="160" w:line="276" w:lineRule="auto"/>
              <w:rPr>
                <w:rFonts w:ascii="Arial" w:hAnsi="Arial" w:cs="Arial"/>
              </w:rPr>
            </w:pPr>
          </w:p>
        </w:tc>
      </w:tr>
      <w:tr w:rsidR="0000664F" w:rsidRPr="0000664F" w14:paraId="6032DF08" w14:textId="77777777" w:rsidTr="00BB0BA7">
        <w:tc>
          <w:tcPr>
            <w:tcW w:w="2254" w:type="dxa"/>
            <w:tcBorders>
              <w:left w:val="single" w:sz="4" w:space="0" w:color="auto"/>
              <w:bottom w:val="single" w:sz="4" w:space="0" w:color="auto"/>
              <w:right w:val="single" w:sz="4" w:space="0" w:color="auto"/>
            </w:tcBorders>
            <w:vAlign w:val="center"/>
          </w:tcPr>
          <w:p w14:paraId="323CB54A" w14:textId="77777777" w:rsidR="0000664F" w:rsidRPr="0000664F" w:rsidRDefault="0000664F" w:rsidP="0000664F">
            <w:pPr>
              <w:spacing w:after="160" w:line="276" w:lineRule="auto"/>
              <w:rPr>
                <w:rFonts w:ascii="Arial" w:hAnsi="Arial" w:cs="Arial"/>
              </w:rPr>
            </w:pPr>
            <w:r w:rsidRPr="0000664F">
              <w:rPr>
                <w:rFonts w:ascii="Arial" w:hAnsi="Arial" w:cs="Arial"/>
              </w:rPr>
              <w:t>External Quality assurer</w:t>
            </w:r>
          </w:p>
        </w:tc>
        <w:tc>
          <w:tcPr>
            <w:tcW w:w="2254" w:type="dxa"/>
            <w:tcBorders>
              <w:left w:val="single" w:sz="4" w:space="0" w:color="auto"/>
              <w:bottom w:val="single" w:sz="4" w:space="0" w:color="auto"/>
              <w:right w:val="single" w:sz="4" w:space="0" w:color="auto"/>
            </w:tcBorders>
            <w:shd w:val="clear" w:color="auto" w:fill="E7E6E6" w:themeFill="background2"/>
          </w:tcPr>
          <w:p w14:paraId="5E03ACDA" w14:textId="77777777" w:rsidR="0000664F" w:rsidRPr="0000664F" w:rsidRDefault="0000664F" w:rsidP="0000664F">
            <w:pPr>
              <w:spacing w:after="160" w:line="276" w:lineRule="auto"/>
              <w:rPr>
                <w:rFonts w:ascii="Arial" w:hAnsi="Arial" w:cs="Arial"/>
              </w:rPr>
            </w:pPr>
          </w:p>
        </w:tc>
        <w:tc>
          <w:tcPr>
            <w:tcW w:w="2254" w:type="dxa"/>
            <w:tcBorders>
              <w:left w:val="single" w:sz="4" w:space="0" w:color="auto"/>
              <w:bottom w:val="single" w:sz="4" w:space="0" w:color="auto"/>
              <w:right w:val="single" w:sz="4" w:space="0" w:color="auto"/>
            </w:tcBorders>
          </w:tcPr>
          <w:p w14:paraId="4E0B0049" w14:textId="77777777" w:rsidR="0000664F" w:rsidRPr="0000664F" w:rsidRDefault="0000664F" w:rsidP="0000664F">
            <w:pPr>
              <w:spacing w:after="160" w:line="276" w:lineRule="auto"/>
              <w:rPr>
                <w:rFonts w:ascii="Arial" w:hAnsi="Arial" w:cs="Arial"/>
              </w:rPr>
            </w:pPr>
          </w:p>
        </w:tc>
        <w:tc>
          <w:tcPr>
            <w:tcW w:w="2254" w:type="dxa"/>
            <w:tcBorders>
              <w:left w:val="single" w:sz="4" w:space="0" w:color="auto"/>
              <w:bottom w:val="single" w:sz="4" w:space="0" w:color="auto"/>
              <w:right w:val="single" w:sz="4" w:space="0" w:color="auto"/>
            </w:tcBorders>
          </w:tcPr>
          <w:p w14:paraId="1716C93D" w14:textId="77777777" w:rsidR="0000664F" w:rsidRPr="0000664F" w:rsidRDefault="0000664F" w:rsidP="0000664F">
            <w:pPr>
              <w:spacing w:after="160" w:line="276" w:lineRule="auto"/>
              <w:rPr>
                <w:rFonts w:ascii="Arial" w:hAnsi="Arial" w:cs="Arial"/>
              </w:rPr>
            </w:pPr>
          </w:p>
        </w:tc>
      </w:tr>
    </w:tbl>
    <w:p w14:paraId="28650267" w14:textId="1DA3B27B" w:rsidR="009C0E87" w:rsidRPr="00D4493E" w:rsidRDefault="009C0E87" w:rsidP="00D9065E">
      <w:pPr>
        <w:spacing w:line="276" w:lineRule="auto"/>
        <w:rPr>
          <w:rFonts w:ascii="Arial" w:hAnsi="Arial" w:cs="Arial"/>
        </w:rPr>
      </w:pPr>
    </w:p>
    <w:sectPr w:rsidR="009C0E87" w:rsidRPr="00D4493E" w:rsidSect="001D5C0B">
      <w:footerReference w:type="defaul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E3FE4" w14:textId="77777777" w:rsidR="00A67A7C" w:rsidRDefault="00A67A7C" w:rsidP="00A447E4">
      <w:pPr>
        <w:spacing w:after="0" w:line="240" w:lineRule="auto"/>
      </w:pPr>
      <w:r>
        <w:separator/>
      </w:r>
    </w:p>
  </w:endnote>
  <w:endnote w:type="continuationSeparator" w:id="0">
    <w:p w14:paraId="34A8EAB4" w14:textId="77777777" w:rsidR="00A67A7C" w:rsidRDefault="00A67A7C" w:rsidP="00A4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FD8A" w14:textId="7171613C" w:rsidR="001D5C0B" w:rsidRDefault="001D5C0B">
    <w:pPr>
      <w:pStyle w:val="Footer"/>
    </w:pPr>
    <w:r>
      <w:t>Approved at ACG 02/04/2025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8B034" w14:textId="1469F5EF" w:rsidR="007C772D" w:rsidRDefault="007C772D">
    <w:pPr>
      <w:pStyle w:val="Footer"/>
    </w:pPr>
    <w:r>
      <w:t xml:space="preserve">Approved </w:t>
    </w:r>
    <w:r w:rsidR="00FC5876">
      <w:t>at ACG 02/04/2025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6708A" w14:textId="77777777" w:rsidR="00A67A7C" w:rsidRDefault="00A67A7C" w:rsidP="00A447E4">
      <w:pPr>
        <w:spacing w:after="0" w:line="240" w:lineRule="auto"/>
      </w:pPr>
      <w:r>
        <w:separator/>
      </w:r>
    </w:p>
  </w:footnote>
  <w:footnote w:type="continuationSeparator" w:id="0">
    <w:p w14:paraId="77E4D795" w14:textId="77777777" w:rsidR="00A67A7C" w:rsidRDefault="00A67A7C" w:rsidP="00A44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6F39"/>
    <w:multiLevelType w:val="hybridMultilevel"/>
    <w:tmpl w:val="3E5C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37D0D"/>
    <w:multiLevelType w:val="multilevel"/>
    <w:tmpl w:val="73C821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8511FD"/>
    <w:multiLevelType w:val="hybridMultilevel"/>
    <w:tmpl w:val="B898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37D"/>
    <w:multiLevelType w:val="hybridMultilevel"/>
    <w:tmpl w:val="09882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67E56"/>
    <w:multiLevelType w:val="hybridMultilevel"/>
    <w:tmpl w:val="E57A3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933C6"/>
    <w:multiLevelType w:val="multilevel"/>
    <w:tmpl w:val="FF1425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729355B"/>
    <w:multiLevelType w:val="hybridMultilevel"/>
    <w:tmpl w:val="51A8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B718E"/>
    <w:multiLevelType w:val="hybridMultilevel"/>
    <w:tmpl w:val="7C82E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E0C80"/>
    <w:multiLevelType w:val="hybridMultilevel"/>
    <w:tmpl w:val="6116D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3A2A48"/>
    <w:multiLevelType w:val="hybridMultilevel"/>
    <w:tmpl w:val="B3647A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99507A"/>
    <w:multiLevelType w:val="hybridMultilevel"/>
    <w:tmpl w:val="639A6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E5B3D"/>
    <w:multiLevelType w:val="multilevel"/>
    <w:tmpl w:val="1D42B1F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2D2A08"/>
    <w:multiLevelType w:val="multilevel"/>
    <w:tmpl w:val="71507CF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44091B"/>
    <w:multiLevelType w:val="hybridMultilevel"/>
    <w:tmpl w:val="BD0E6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B31A9"/>
    <w:multiLevelType w:val="hybridMultilevel"/>
    <w:tmpl w:val="CF2EAE43"/>
    <w:lvl w:ilvl="0" w:tplc="FFFFFFFF">
      <w:start w:val="1"/>
      <w:numFmt w:val="bullet"/>
      <w:lvlText w:val="•"/>
      <w:lvlJc w:val="left"/>
    </w:lvl>
    <w:lvl w:ilvl="1" w:tplc="E0669126">
      <w:start w:val="1"/>
      <w:numFmt w:val="bullet"/>
      <w:lvlText w:val="•"/>
      <w:lvlJc w:val="left"/>
    </w:lvl>
    <w:lvl w:ilvl="2" w:tplc="22C1AC6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3120480"/>
    <w:multiLevelType w:val="multilevel"/>
    <w:tmpl w:val="8D904F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8F4C4A"/>
    <w:multiLevelType w:val="hybridMultilevel"/>
    <w:tmpl w:val="E328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E143B"/>
    <w:multiLevelType w:val="hybridMultilevel"/>
    <w:tmpl w:val="E5580D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201BEC"/>
    <w:multiLevelType w:val="hybridMultilevel"/>
    <w:tmpl w:val="83F03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800362E"/>
    <w:multiLevelType w:val="hybridMultilevel"/>
    <w:tmpl w:val="6526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AB684F"/>
    <w:multiLevelType w:val="hybridMultilevel"/>
    <w:tmpl w:val="FB0A72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D2E042C"/>
    <w:multiLevelType w:val="hybridMultilevel"/>
    <w:tmpl w:val="FCFE5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653EA"/>
    <w:multiLevelType w:val="multilevel"/>
    <w:tmpl w:val="ECAE56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3C34FD"/>
    <w:multiLevelType w:val="multilevel"/>
    <w:tmpl w:val="248436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12124638">
    <w:abstractNumId w:val="3"/>
  </w:num>
  <w:num w:numId="2" w16cid:durableId="1739480312">
    <w:abstractNumId w:val="1"/>
  </w:num>
  <w:num w:numId="3" w16cid:durableId="284193649">
    <w:abstractNumId w:val="5"/>
  </w:num>
  <w:num w:numId="4" w16cid:durableId="1400640446">
    <w:abstractNumId w:val="14"/>
  </w:num>
  <w:num w:numId="5" w16cid:durableId="666521465">
    <w:abstractNumId w:val="15"/>
  </w:num>
  <w:num w:numId="6" w16cid:durableId="797455987">
    <w:abstractNumId w:val="12"/>
  </w:num>
  <w:num w:numId="7" w16cid:durableId="818306549">
    <w:abstractNumId w:val="16"/>
  </w:num>
  <w:num w:numId="8" w16cid:durableId="1948928879">
    <w:abstractNumId w:val="11"/>
  </w:num>
  <w:num w:numId="9" w16cid:durableId="1927642846">
    <w:abstractNumId w:val="13"/>
  </w:num>
  <w:num w:numId="10" w16cid:durableId="1538198959">
    <w:abstractNumId w:val="23"/>
  </w:num>
  <w:num w:numId="11" w16cid:durableId="130557439">
    <w:abstractNumId w:val="22"/>
  </w:num>
  <w:num w:numId="12" w16cid:durableId="1606035491">
    <w:abstractNumId w:val="7"/>
  </w:num>
  <w:num w:numId="13" w16cid:durableId="598368182">
    <w:abstractNumId w:val="8"/>
  </w:num>
  <w:num w:numId="14" w16cid:durableId="1051425342">
    <w:abstractNumId w:val="18"/>
  </w:num>
  <w:num w:numId="15" w16cid:durableId="2146924355">
    <w:abstractNumId w:val="9"/>
  </w:num>
  <w:num w:numId="16" w16cid:durableId="2091197859">
    <w:abstractNumId w:val="2"/>
  </w:num>
  <w:num w:numId="17" w16cid:durableId="696733520">
    <w:abstractNumId w:val="0"/>
  </w:num>
  <w:num w:numId="18" w16cid:durableId="220215348">
    <w:abstractNumId w:val="19"/>
  </w:num>
  <w:num w:numId="19" w16cid:durableId="1255361539">
    <w:abstractNumId w:val="20"/>
  </w:num>
  <w:num w:numId="20" w16cid:durableId="1615820841">
    <w:abstractNumId w:val="4"/>
  </w:num>
  <w:num w:numId="21" w16cid:durableId="1727335247">
    <w:abstractNumId w:val="6"/>
  </w:num>
  <w:num w:numId="22" w16cid:durableId="86658750">
    <w:abstractNumId w:val="10"/>
  </w:num>
  <w:num w:numId="23" w16cid:durableId="1011879181">
    <w:abstractNumId w:val="21"/>
  </w:num>
  <w:num w:numId="24" w16cid:durableId="113044286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21D"/>
    <w:rsid w:val="000017E4"/>
    <w:rsid w:val="0000664F"/>
    <w:rsid w:val="00015771"/>
    <w:rsid w:val="00024A01"/>
    <w:rsid w:val="00030EFE"/>
    <w:rsid w:val="0003273A"/>
    <w:rsid w:val="00034EFD"/>
    <w:rsid w:val="000500FE"/>
    <w:rsid w:val="00060303"/>
    <w:rsid w:val="00074F77"/>
    <w:rsid w:val="00083EBF"/>
    <w:rsid w:val="00086981"/>
    <w:rsid w:val="00092D53"/>
    <w:rsid w:val="00094EE5"/>
    <w:rsid w:val="00095B3A"/>
    <w:rsid w:val="00096DD9"/>
    <w:rsid w:val="00097E74"/>
    <w:rsid w:val="000A1C4C"/>
    <w:rsid w:val="000A2AE0"/>
    <w:rsid w:val="000A4DB2"/>
    <w:rsid w:val="000A5E0D"/>
    <w:rsid w:val="000A677F"/>
    <w:rsid w:val="000B00D2"/>
    <w:rsid w:val="000B3A1C"/>
    <w:rsid w:val="000C0A49"/>
    <w:rsid w:val="000C239E"/>
    <w:rsid w:val="000C6B35"/>
    <w:rsid w:val="000D1CFC"/>
    <w:rsid w:val="000E3720"/>
    <w:rsid w:val="000E59E4"/>
    <w:rsid w:val="000F17FE"/>
    <w:rsid w:val="000F504B"/>
    <w:rsid w:val="00104683"/>
    <w:rsid w:val="00111BF2"/>
    <w:rsid w:val="00115D41"/>
    <w:rsid w:val="001264E5"/>
    <w:rsid w:val="00126EBD"/>
    <w:rsid w:val="001270CB"/>
    <w:rsid w:val="00127831"/>
    <w:rsid w:val="00131F93"/>
    <w:rsid w:val="00134F58"/>
    <w:rsid w:val="001442A3"/>
    <w:rsid w:val="0014636B"/>
    <w:rsid w:val="001513D9"/>
    <w:rsid w:val="00157CCE"/>
    <w:rsid w:val="00161774"/>
    <w:rsid w:val="00176B6B"/>
    <w:rsid w:val="001776C5"/>
    <w:rsid w:val="0018032E"/>
    <w:rsid w:val="00181735"/>
    <w:rsid w:val="00183067"/>
    <w:rsid w:val="0018528A"/>
    <w:rsid w:val="001909EC"/>
    <w:rsid w:val="00196259"/>
    <w:rsid w:val="001A0D44"/>
    <w:rsid w:val="001A5DB6"/>
    <w:rsid w:val="001A68E1"/>
    <w:rsid w:val="001B3236"/>
    <w:rsid w:val="001B5A04"/>
    <w:rsid w:val="001C206A"/>
    <w:rsid w:val="001C673F"/>
    <w:rsid w:val="001D335C"/>
    <w:rsid w:val="001D5C0B"/>
    <w:rsid w:val="001D7B52"/>
    <w:rsid w:val="001E551F"/>
    <w:rsid w:val="002064D1"/>
    <w:rsid w:val="00206EBC"/>
    <w:rsid w:val="0020743D"/>
    <w:rsid w:val="00240F3A"/>
    <w:rsid w:val="002430A3"/>
    <w:rsid w:val="00246A62"/>
    <w:rsid w:val="002506F5"/>
    <w:rsid w:val="00261F89"/>
    <w:rsid w:val="00262881"/>
    <w:rsid w:val="00262AD4"/>
    <w:rsid w:val="00263BF3"/>
    <w:rsid w:val="002661E5"/>
    <w:rsid w:val="002749F8"/>
    <w:rsid w:val="0028346F"/>
    <w:rsid w:val="002A1E6E"/>
    <w:rsid w:val="002A462F"/>
    <w:rsid w:val="002A4B46"/>
    <w:rsid w:val="002A5693"/>
    <w:rsid w:val="002B043C"/>
    <w:rsid w:val="002B221C"/>
    <w:rsid w:val="002B45D0"/>
    <w:rsid w:val="002B504D"/>
    <w:rsid w:val="002B59E3"/>
    <w:rsid w:val="002B71AF"/>
    <w:rsid w:val="002B7304"/>
    <w:rsid w:val="002C2515"/>
    <w:rsid w:val="002C46F3"/>
    <w:rsid w:val="002C753A"/>
    <w:rsid w:val="002E2274"/>
    <w:rsid w:val="002F424F"/>
    <w:rsid w:val="0030767A"/>
    <w:rsid w:val="00313A2D"/>
    <w:rsid w:val="003167AC"/>
    <w:rsid w:val="00316BDA"/>
    <w:rsid w:val="00320529"/>
    <w:rsid w:val="003258BA"/>
    <w:rsid w:val="00326D1B"/>
    <w:rsid w:val="003343AD"/>
    <w:rsid w:val="00340F2C"/>
    <w:rsid w:val="00341C87"/>
    <w:rsid w:val="00343719"/>
    <w:rsid w:val="00347CAD"/>
    <w:rsid w:val="00353FDD"/>
    <w:rsid w:val="00357448"/>
    <w:rsid w:val="00360C1F"/>
    <w:rsid w:val="003751EE"/>
    <w:rsid w:val="00376F3C"/>
    <w:rsid w:val="0038695C"/>
    <w:rsid w:val="0039494B"/>
    <w:rsid w:val="003953CA"/>
    <w:rsid w:val="003B4D45"/>
    <w:rsid w:val="003B58B5"/>
    <w:rsid w:val="003C0B04"/>
    <w:rsid w:val="003C24F0"/>
    <w:rsid w:val="003C6298"/>
    <w:rsid w:val="003D7B3D"/>
    <w:rsid w:val="003E64EA"/>
    <w:rsid w:val="003E7784"/>
    <w:rsid w:val="003F0328"/>
    <w:rsid w:val="003F1BBC"/>
    <w:rsid w:val="003F41CB"/>
    <w:rsid w:val="003F683E"/>
    <w:rsid w:val="00402ECE"/>
    <w:rsid w:val="00405D7B"/>
    <w:rsid w:val="0040728D"/>
    <w:rsid w:val="0041114D"/>
    <w:rsid w:val="004159E9"/>
    <w:rsid w:val="00420194"/>
    <w:rsid w:val="00420994"/>
    <w:rsid w:val="00420C61"/>
    <w:rsid w:val="00423E04"/>
    <w:rsid w:val="00434EEB"/>
    <w:rsid w:val="004373B5"/>
    <w:rsid w:val="004410DE"/>
    <w:rsid w:val="0044145B"/>
    <w:rsid w:val="00441F8F"/>
    <w:rsid w:val="00444934"/>
    <w:rsid w:val="004453BE"/>
    <w:rsid w:val="00445D1C"/>
    <w:rsid w:val="004530E5"/>
    <w:rsid w:val="0045336E"/>
    <w:rsid w:val="00454C91"/>
    <w:rsid w:val="0046005F"/>
    <w:rsid w:val="0046419F"/>
    <w:rsid w:val="0047166D"/>
    <w:rsid w:val="00491F48"/>
    <w:rsid w:val="0049377E"/>
    <w:rsid w:val="004961E1"/>
    <w:rsid w:val="004A073F"/>
    <w:rsid w:val="004A6F97"/>
    <w:rsid w:val="004B0BAB"/>
    <w:rsid w:val="004B61A3"/>
    <w:rsid w:val="004B629B"/>
    <w:rsid w:val="004C70D3"/>
    <w:rsid w:val="004D6FE4"/>
    <w:rsid w:val="004E215D"/>
    <w:rsid w:val="004E3A52"/>
    <w:rsid w:val="004E3FD7"/>
    <w:rsid w:val="004E6850"/>
    <w:rsid w:val="004F6E51"/>
    <w:rsid w:val="004F7B5F"/>
    <w:rsid w:val="0050153B"/>
    <w:rsid w:val="00501F48"/>
    <w:rsid w:val="00505FA7"/>
    <w:rsid w:val="00520B82"/>
    <w:rsid w:val="00523B1B"/>
    <w:rsid w:val="005241B0"/>
    <w:rsid w:val="0053314C"/>
    <w:rsid w:val="00541447"/>
    <w:rsid w:val="00541E6C"/>
    <w:rsid w:val="005522F6"/>
    <w:rsid w:val="005525DA"/>
    <w:rsid w:val="00552F49"/>
    <w:rsid w:val="0055305C"/>
    <w:rsid w:val="0055619A"/>
    <w:rsid w:val="00557C85"/>
    <w:rsid w:val="00560E74"/>
    <w:rsid w:val="005628DC"/>
    <w:rsid w:val="00570298"/>
    <w:rsid w:val="00572B78"/>
    <w:rsid w:val="0057429D"/>
    <w:rsid w:val="00577AD3"/>
    <w:rsid w:val="0058127A"/>
    <w:rsid w:val="00581836"/>
    <w:rsid w:val="00582263"/>
    <w:rsid w:val="0058658E"/>
    <w:rsid w:val="00590E97"/>
    <w:rsid w:val="005926A8"/>
    <w:rsid w:val="00594E5A"/>
    <w:rsid w:val="005A0040"/>
    <w:rsid w:val="005A1AA4"/>
    <w:rsid w:val="005A59D4"/>
    <w:rsid w:val="005A7380"/>
    <w:rsid w:val="005B5DF5"/>
    <w:rsid w:val="005C0787"/>
    <w:rsid w:val="005C45E6"/>
    <w:rsid w:val="005C6813"/>
    <w:rsid w:val="005C6D31"/>
    <w:rsid w:val="005C7B37"/>
    <w:rsid w:val="005D0D8E"/>
    <w:rsid w:val="005D424D"/>
    <w:rsid w:val="005D74EC"/>
    <w:rsid w:val="005E24F3"/>
    <w:rsid w:val="005E39EA"/>
    <w:rsid w:val="005F297D"/>
    <w:rsid w:val="005F2AF7"/>
    <w:rsid w:val="005F43C6"/>
    <w:rsid w:val="005F5886"/>
    <w:rsid w:val="00604378"/>
    <w:rsid w:val="00612BE2"/>
    <w:rsid w:val="00613318"/>
    <w:rsid w:val="0063208A"/>
    <w:rsid w:val="0063337C"/>
    <w:rsid w:val="00636435"/>
    <w:rsid w:val="00636B3E"/>
    <w:rsid w:val="00645D74"/>
    <w:rsid w:val="00645DD9"/>
    <w:rsid w:val="00654E40"/>
    <w:rsid w:val="00655234"/>
    <w:rsid w:val="00655B72"/>
    <w:rsid w:val="006630C8"/>
    <w:rsid w:val="00671224"/>
    <w:rsid w:val="00677F3E"/>
    <w:rsid w:val="00682F13"/>
    <w:rsid w:val="006926CF"/>
    <w:rsid w:val="00692822"/>
    <w:rsid w:val="0069294A"/>
    <w:rsid w:val="00696029"/>
    <w:rsid w:val="006A03D4"/>
    <w:rsid w:val="006A5D3E"/>
    <w:rsid w:val="006A715D"/>
    <w:rsid w:val="006B4162"/>
    <w:rsid w:val="006C0B50"/>
    <w:rsid w:val="006C19DD"/>
    <w:rsid w:val="006C40D0"/>
    <w:rsid w:val="006D0AE5"/>
    <w:rsid w:val="006E011B"/>
    <w:rsid w:val="006E193F"/>
    <w:rsid w:val="006F381C"/>
    <w:rsid w:val="006F45DE"/>
    <w:rsid w:val="006F72D4"/>
    <w:rsid w:val="00700736"/>
    <w:rsid w:val="00702A47"/>
    <w:rsid w:val="00710B0E"/>
    <w:rsid w:val="00720FE7"/>
    <w:rsid w:val="0072136F"/>
    <w:rsid w:val="00721A99"/>
    <w:rsid w:val="00722408"/>
    <w:rsid w:val="00726CD9"/>
    <w:rsid w:val="007279CB"/>
    <w:rsid w:val="007310AF"/>
    <w:rsid w:val="00733BFB"/>
    <w:rsid w:val="00735923"/>
    <w:rsid w:val="007371C1"/>
    <w:rsid w:val="00740F06"/>
    <w:rsid w:val="0074342D"/>
    <w:rsid w:val="007479A7"/>
    <w:rsid w:val="00751322"/>
    <w:rsid w:val="0075277F"/>
    <w:rsid w:val="00754BDB"/>
    <w:rsid w:val="0076040F"/>
    <w:rsid w:val="007630D9"/>
    <w:rsid w:val="007727BC"/>
    <w:rsid w:val="00772E48"/>
    <w:rsid w:val="00774373"/>
    <w:rsid w:val="00785E16"/>
    <w:rsid w:val="007918DF"/>
    <w:rsid w:val="007A0E23"/>
    <w:rsid w:val="007A2553"/>
    <w:rsid w:val="007A52FB"/>
    <w:rsid w:val="007A5E1B"/>
    <w:rsid w:val="007B3C14"/>
    <w:rsid w:val="007B5F36"/>
    <w:rsid w:val="007C0518"/>
    <w:rsid w:val="007C1BD6"/>
    <w:rsid w:val="007C552C"/>
    <w:rsid w:val="007C772D"/>
    <w:rsid w:val="007D2179"/>
    <w:rsid w:val="007D2631"/>
    <w:rsid w:val="007D4310"/>
    <w:rsid w:val="007D5AB2"/>
    <w:rsid w:val="007E3640"/>
    <w:rsid w:val="007F5D18"/>
    <w:rsid w:val="007F608A"/>
    <w:rsid w:val="007F73C2"/>
    <w:rsid w:val="00801530"/>
    <w:rsid w:val="00802DE4"/>
    <w:rsid w:val="0080301B"/>
    <w:rsid w:val="00810CCA"/>
    <w:rsid w:val="00816A15"/>
    <w:rsid w:val="0082052D"/>
    <w:rsid w:val="00820F34"/>
    <w:rsid w:val="00826AA2"/>
    <w:rsid w:val="00826F96"/>
    <w:rsid w:val="0082738A"/>
    <w:rsid w:val="0083571A"/>
    <w:rsid w:val="00837478"/>
    <w:rsid w:val="00837EF4"/>
    <w:rsid w:val="00842E2B"/>
    <w:rsid w:val="00843FE7"/>
    <w:rsid w:val="00844633"/>
    <w:rsid w:val="00844BFC"/>
    <w:rsid w:val="0084628C"/>
    <w:rsid w:val="00846C6A"/>
    <w:rsid w:val="0084722E"/>
    <w:rsid w:val="00855512"/>
    <w:rsid w:val="0086311A"/>
    <w:rsid w:val="00874A02"/>
    <w:rsid w:val="00875201"/>
    <w:rsid w:val="00882C32"/>
    <w:rsid w:val="00897A85"/>
    <w:rsid w:val="008A01CF"/>
    <w:rsid w:val="008A14A7"/>
    <w:rsid w:val="008B0A65"/>
    <w:rsid w:val="008B1154"/>
    <w:rsid w:val="008B4104"/>
    <w:rsid w:val="008B4864"/>
    <w:rsid w:val="008C0169"/>
    <w:rsid w:val="008C2A00"/>
    <w:rsid w:val="008C618C"/>
    <w:rsid w:val="008C67B4"/>
    <w:rsid w:val="008C7B0E"/>
    <w:rsid w:val="008C7CD7"/>
    <w:rsid w:val="008D08FB"/>
    <w:rsid w:val="008D1EC0"/>
    <w:rsid w:val="008D28DB"/>
    <w:rsid w:val="008D390B"/>
    <w:rsid w:val="008D4907"/>
    <w:rsid w:val="008D5BF4"/>
    <w:rsid w:val="008E01BD"/>
    <w:rsid w:val="008E3893"/>
    <w:rsid w:val="008E391A"/>
    <w:rsid w:val="008E7370"/>
    <w:rsid w:val="008F0B61"/>
    <w:rsid w:val="008F1707"/>
    <w:rsid w:val="008F275C"/>
    <w:rsid w:val="008F3DEF"/>
    <w:rsid w:val="008F4BC4"/>
    <w:rsid w:val="008F500E"/>
    <w:rsid w:val="008F5DC8"/>
    <w:rsid w:val="00904E6F"/>
    <w:rsid w:val="00905843"/>
    <w:rsid w:val="009062B4"/>
    <w:rsid w:val="00913103"/>
    <w:rsid w:val="00914192"/>
    <w:rsid w:val="0091496E"/>
    <w:rsid w:val="0091553F"/>
    <w:rsid w:val="00915760"/>
    <w:rsid w:val="009170E2"/>
    <w:rsid w:val="00925C0E"/>
    <w:rsid w:val="00934212"/>
    <w:rsid w:val="00941902"/>
    <w:rsid w:val="00946060"/>
    <w:rsid w:val="009470FB"/>
    <w:rsid w:val="0095317D"/>
    <w:rsid w:val="009548DF"/>
    <w:rsid w:val="00960497"/>
    <w:rsid w:val="009650A8"/>
    <w:rsid w:val="00970E18"/>
    <w:rsid w:val="0097706C"/>
    <w:rsid w:val="00981632"/>
    <w:rsid w:val="00981FB3"/>
    <w:rsid w:val="00986E95"/>
    <w:rsid w:val="0098737C"/>
    <w:rsid w:val="00996C28"/>
    <w:rsid w:val="009A4E71"/>
    <w:rsid w:val="009A575E"/>
    <w:rsid w:val="009B74DB"/>
    <w:rsid w:val="009C0E87"/>
    <w:rsid w:val="009C7F18"/>
    <w:rsid w:val="009D02EF"/>
    <w:rsid w:val="009D0E6D"/>
    <w:rsid w:val="009D2A60"/>
    <w:rsid w:val="009D4413"/>
    <w:rsid w:val="009D65CA"/>
    <w:rsid w:val="009E0879"/>
    <w:rsid w:val="009E2EBA"/>
    <w:rsid w:val="009E50A3"/>
    <w:rsid w:val="009E79D6"/>
    <w:rsid w:val="009F3DDD"/>
    <w:rsid w:val="00A004D8"/>
    <w:rsid w:val="00A00536"/>
    <w:rsid w:val="00A015BD"/>
    <w:rsid w:val="00A10609"/>
    <w:rsid w:val="00A14EB4"/>
    <w:rsid w:val="00A17D8E"/>
    <w:rsid w:val="00A22807"/>
    <w:rsid w:val="00A318CA"/>
    <w:rsid w:val="00A447E4"/>
    <w:rsid w:val="00A47869"/>
    <w:rsid w:val="00A537B4"/>
    <w:rsid w:val="00A54826"/>
    <w:rsid w:val="00A67A7C"/>
    <w:rsid w:val="00A8434D"/>
    <w:rsid w:val="00A866CF"/>
    <w:rsid w:val="00A87526"/>
    <w:rsid w:val="00A91FAA"/>
    <w:rsid w:val="00A9207B"/>
    <w:rsid w:val="00A93B62"/>
    <w:rsid w:val="00A9404E"/>
    <w:rsid w:val="00A94CC7"/>
    <w:rsid w:val="00AA19D4"/>
    <w:rsid w:val="00AB183A"/>
    <w:rsid w:val="00AC31D7"/>
    <w:rsid w:val="00AC39FD"/>
    <w:rsid w:val="00AC602C"/>
    <w:rsid w:val="00AD0022"/>
    <w:rsid w:val="00AE03EB"/>
    <w:rsid w:val="00AE6623"/>
    <w:rsid w:val="00AF3596"/>
    <w:rsid w:val="00AF3DAB"/>
    <w:rsid w:val="00AF3E20"/>
    <w:rsid w:val="00B07253"/>
    <w:rsid w:val="00B14196"/>
    <w:rsid w:val="00B210B7"/>
    <w:rsid w:val="00B25492"/>
    <w:rsid w:val="00B25FCC"/>
    <w:rsid w:val="00B42500"/>
    <w:rsid w:val="00B43457"/>
    <w:rsid w:val="00B434BD"/>
    <w:rsid w:val="00B44B5F"/>
    <w:rsid w:val="00B47E7C"/>
    <w:rsid w:val="00B5592A"/>
    <w:rsid w:val="00B55BA4"/>
    <w:rsid w:val="00B657BC"/>
    <w:rsid w:val="00B7225A"/>
    <w:rsid w:val="00B76791"/>
    <w:rsid w:val="00B76871"/>
    <w:rsid w:val="00B779E1"/>
    <w:rsid w:val="00B921C5"/>
    <w:rsid w:val="00B93ED8"/>
    <w:rsid w:val="00BA45A0"/>
    <w:rsid w:val="00BA517D"/>
    <w:rsid w:val="00BA7411"/>
    <w:rsid w:val="00BC233F"/>
    <w:rsid w:val="00BC7669"/>
    <w:rsid w:val="00BC76E2"/>
    <w:rsid w:val="00BD0E1F"/>
    <w:rsid w:val="00BD3A7E"/>
    <w:rsid w:val="00BD4DBE"/>
    <w:rsid w:val="00BD580B"/>
    <w:rsid w:val="00BD7065"/>
    <w:rsid w:val="00BE2F14"/>
    <w:rsid w:val="00BE4227"/>
    <w:rsid w:val="00BE5116"/>
    <w:rsid w:val="00BE59B8"/>
    <w:rsid w:val="00BE6EEA"/>
    <w:rsid w:val="00C0393D"/>
    <w:rsid w:val="00C041D7"/>
    <w:rsid w:val="00C05AE9"/>
    <w:rsid w:val="00C072BD"/>
    <w:rsid w:val="00C1208B"/>
    <w:rsid w:val="00C17312"/>
    <w:rsid w:val="00C24BF8"/>
    <w:rsid w:val="00C41324"/>
    <w:rsid w:val="00C46DDC"/>
    <w:rsid w:val="00C51496"/>
    <w:rsid w:val="00C5208E"/>
    <w:rsid w:val="00C648D1"/>
    <w:rsid w:val="00C7082E"/>
    <w:rsid w:val="00C86545"/>
    <w:rsid w:val="00C866C6"/>
    <w:rsid w:val="00C96755"/>
    <w:rsid w:val="00C97186"/>
    <w:rsid w:val="00CA1A17"/>
    <w:rsid w:val="00CA21D5"/>
    <w:rsid w:val="00CA38D8"/>
    <w:rsid w:val="00CA3931"/>
    <w:rsid w:val="00CB3071"/>
    <w:rsid w:val="00CB7BC4"/>
    <w:rsid w:val="00CC0CFF"/>
    <w:rsid w:val="00CC3E98"/>
    <w:rsid w:val="00CC5BA8"/>
    <w:rsid w:val="00CD49DC"/>
    <w:rsid w:val="00CD57FF"/>
    <w:rsid w:val="00CE0732"/>
    <w:rsid w:val="00CE1A7F"/>
    <w:rsid w:val="00CE2332"/>
    <w:rsid w:val="00CF0BF3"/>
    <w:rsid w:val="00CF16B1"/>
    <w:rsid w:val="00CF19DE"/>
    <w:rsid w:val="00CF4111"/>
    <w:rsid w:val="00CF54A3"/>
    <w:rsid w:val="00CF754A"/>
    <w:rsid w:val="00CF7FF4"/>
    <w:rsid w:val="00D05952"/>
    <w:rsid w:val="00D1279C"/>
    <w:rsid w:val="00D2314C"/>
    <w:rsid w:val="00D3174F"/>
    <w:rsid w:val="00D348D7"/>
    <w:rsid w:val="00D37F07"/>
    <w:rsid w:val="00D41EBB"/>
    <w:rsid w:val="00D4493E"/>
    <w:rsid w:val="00D46961"/>
    <w:rsid w:val="00D5127A"/>
    <w:rsid w:val="00D52E95"/>
    <w:rsid w:val="00D52F17"/>
    <w:rsid w:val="00D54F3C"/>
    <w:rsid w:val="00D5674D"/>
    <w:rsid w:val="00D600F0"/>
    <w:rsid w:val="00D64262"/>
    <w:rsid w:val="00D6456A"/>
    <w:rsid w:val="00D74E0A"/>
    <w:rsid w:val="00D77870"/>
    <w:rsid w:val="00D77C4A"/>
    <w:rsid w:val="00D82066"/>
    <w:rsid w:val="00D84248"/>
    <w:rsid w:val="00D90253"/>
    <w:rsid w:val="00D9065E"/>
    <w:rsid w:val="00D92407"/>
    <w:rsid w:val="00D9643A"/>
    <w:rsid w:val="00D966BD"/>
    <w:rsid w:val="00D976F2"/>
    <w:rsid w:val="00DA073D"/>
    <w:rsid w:val="00DA0902"/>
    <w:rsid w:val="00DA0B0D"/>
    <w:rsid w:val="00DA3927"/>
    <w:rsid w:val="00DA53E2"/>
    <w:rsid w:val="00DA59D0"/>
    <w:rsid w:val="00DA6D7E"/>
    <w:rsid w:val="00DB1012"/>
    <w:rsid w:val="00DB1765"/>
    <w:rsid w:val="00DB51D9"/>
    <w:rsid w:val="00DB545E"/>
    <w:rsid w:val="00DB6893"/>
    <w:rsid w:val="00DB78BF"/>
    <w:rsid w:val="00DD4274"/>
    <w:rsid w:val="00DD66BB"/>
    <w:rsid w:val="00DE62E2"/>
    <w:rsid w:val="00DE6AC9"/>
    <w:rsid w:val="00DF16DB"/>
    <w:rsid w:val="00E03A71"/>
    <w:rsid w:val="00E0421D"/>
    <w:rsid w:val="00E21EEA"/>
    <w:rsid w:val="00E220FC"/>
    <w:rsid w:val="00E24950"/>
    <w:rsid w:val="00E26734"/>
    <w:rsid w:val="00E31B7F"/>
    <w:rsid w:val="00E33EAB"/>
    <w:rsid w:val="00E3526C"/>
    <w:rsid w:val="00E426FA"/>
    <w:rsid w:val="00E437B0"/>
    <w:rsid w:val="00E507AD"/>
    <w:rsid w:val="00E50815"/>
    <w:rsid w:val="00E55523"/>
    <w:rsid w:val="00E6054A"/>
    <w:rsid w:val="00E64495"/>
    <w:rsid w:val="00E65260"/>
    <w:rsid w:val="00E83B15"/>
    <w:rsid w:val="00E9500F"/>
    <w:rsid w:val="00E956E2"/>
    <w:rsid w:val="00EA14A9"/>
    <w:rsid w:val="00EB3BCE"/>
    <w:rsid w:val="00EC2849"/>
    <w:rsid w:val="00EC7512"/>
    <w:rsid w:val="00ED02A5"/>
    <w:rsid w:val="00ED1257"/>
    <w:rsid w:val="00ED38BD"/>
    <w:rsid w:val="00EE0281"/>
    <w:rsid w:val="00EE0642"/>
    <w:rsid w:val="00EE69CE"/>
    <w:rsid w:val="00EF5114"/>
    <w:rsid w:val="00F07269"/>
    <w:rsid w:val="00F07BB0"/>
    <w:rsid w:val="00F10073"/>
    <w:rsid w:val="00F17418"/>
    <w:rsid w:val="00F1771B"/>
    <w:rsid w:val="00F17947"/>
    <w:rsid w:val="00F2432F"/>
    <w:rsid w:val="00F27668"/>
    <w:rsid w:val="00F3008F"/>
    <w:rsid w:val="00F308A3"/>
    <w:rsid w:val="00F321CD"/>
    <w:rsid w:val="00F33593"/>
    <w:rsid w:val="00F34410"/>
    <w:rsid w:val="00F35385"/>
    <w:rsid w:val="00F41275"/>
    <w:rsid w:val="00F41BEB"/>
    <w:rsid w:val="00F42A2A"/>
    <w:rsid w:val="00F46FCF"/>
    <w:rsid w:val="00F52022"/>
    <w:rsid w:val="00F52EF6"/>
    <w:rsid w:val="00F53D9F"/>
    <w:rsid w:val="00F55765"/>
    <w:rsid w:val="00F56CA5"/>
    <w:rsid w:val="00F6009C"/>
    <w:rsid w:val="00F60E96"/>
    <w:rsid w:val="00F71716"/>
    <w:rsid w:val="00F72FE9"/>
    <w:rsid w:val="00F8065B"/>
    <w:rsid w:val="00F96149"/>
    <w:rsid w:val="00FA092D"/>
    <w:rsid w:val="00FA3466"/>
    <w:rsid w:val="00FA4361"/>
    <w:rsid w:val="00FA443D"/>
    <w:rsid w:val="00FA7CE2"/>
    <w:rsid w:val="00FA7E3D"/>
    <w:rsid w:val="00FB1A7D"/>
    <w:rsid w:val="00FB41FC"/>
    <w:rsid w:val="00FB57B6"/>
    <w:rsid w:val="00FC46B5"/>
    <w:rsid w:val="00FC5876"/>
    <w:rsid w:val="00FC69AB"/>
    <w:rsid w:val="00FD3896"/>
    <w:rsid w:val="00FD3FB2"/>
    <w:rsid w:val="00FE537F"/>
    <w:rsid w:val="00FE5680"/>
    <w:rsid w:val="00FE5EF0"/>
    <w:rsid w:val="00FE7A12"/>
    <w:rsid w:val="00FF2245"/>
    <w:rsid w:val="00FF5BCC"/>
    <w:rsid w:val="00FF6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427A3"/>
  <w15:docId w15:val="{3CEBAB9E-3D6E-40FB-8158-BDF35F94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E4"/>
  </w:style>
  <w:style w:type="paragraph" w:styleId="Heading1">
    <w:name w:val="heading 1"/>
    <w:basedOn w:val="Normal"/>
    <w:next w:val="Normal"/>
    <w:link w:val="Heading1Char"/>
    <w:uiPriority w:val="9"/>
    <w:qFormat/>
    <w:rsid w:val="00A447E4"/>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CF7FF4"/>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A447E4"/>
    <w:pPr>
      <w:keepNext/>
      <w:keepLines/>
      <w:spacing w:before="40" w:after="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7E4"/>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F7FF4"/>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A447E4"/>
    <w:rPr>
      <w:rFonts w:ascii="Arial" w:eastAsiaTheme="majorEastAsia" w:hAnsi="Arial" w:cstheme="majorBidi"/>
      <w:b/>
      <w:szCs w:val="24"/>
    </w:rPr>
  </w:style>
  <w:style w:type="paragraph" w:styleId="ListParagraph">
    <w:name w:val="List Paragraph"/>
    <w:basedOn w:val="Normal"/>
    <w:link w:val="ListParagraphChar"/>
    <w:uiPriority w:val="34"/>
    <w:qFormat/>
    <w:rsid w:val="00A447E4"/>
    <w:pPr>
      <w:ind w:left="720"/>
      <w:contextualSpacing/>
    </w:pPr>
  </w:style>
  <w:style w:type="paragraph" w:customStyle="1" w:styleId="Default">
    <w:name w:val="Default"/>
    <w:rsid w:val="00A447E4"/>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Footer">
    <w:name w:val="footer"/>
    <w:basedOn w:val="Normal"/>
    <w:link w:val="FooterChar"/>
    <w:uiPriority w:val="99"/>
    <w:unhideWhenUsed/>
    <w:rsid w:val="00A44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E4"/>
  </w:style>
  <w:style w:type="paragraph" w:customStyle="1" w:styleId="paragraph">
    <w:name w:val="paragraph"/>
    <w:basedOn w:val="Normal"/>
    <w:rsid w:val="00A447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47E4"/>
  </w:style>
  <w:style w:type="character" w:customStyle="1" w:styleId="eop">
    <w:name w:val="eop"/>
    <w:basedOn w:val="DefaultParagraphFont"/>
    <w:rsid w:val="00A447E4"/>
  </w:style>
  <w:style w:type="paragraph" w:styleId="TOCHeading">
    <w:name w:val="TOC Heading"/>
    <w:basedOn w:val="Heading1"/>
    <w:next w:val="Normal"/>
    <w:uiPriority w:val="39"/>
    <w:unhideWhenUsed/>
    <w:qFormat/>
    <w:rsid w:val="00A447E4"/>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801530"/>
    <w:pPr>
      <w:tabs>
        <w:tab w:val="right" w:leader="dot" w:pos="9016"/>
      </w:tabs>
      <w:spacing w:after="100"/>
    </w:pPr>
    <w:rPr>
      <w:rFonts w:cstheme="minorHAnsi"/>
      <w:bCs/>
      <w:noProof/>
    </w:rPr>
  </w:style>
  <w:style w:type="paragraph" w:styleId="TOC2">
    <w:name w:val="toc 2"/>
    <w:basedOn w:val="Normal"/>
    <w:next w:val="Normal"/>
    <w:autoRedefine/>
    <w:uiPriority w:val="39"/>
    <w:unhideWhenUsed/>
    <w:rsid w:val="00A447E4"/>
    <w:pPr>
      <w:spacing w:after="100"/>
      <w:ind w:left="220"/>
    </w:pPr>
  </w:style>
  <w:style w:type="paragraph" w:styleId="TOC3">
    <w:name w:val="toc 3"/>
    <w:basedOn w:val="Normal"/>
    <w:next w:val="Normal"/>
    <w:autoRedefine/>
    <w:uiPriority w:val="39"/>
    <w:unhideWhenUsed/>
    <w:rsid w:val="00A447E4"/>
    <w:pPr>
      <w:spacing w:after="100"/>
      <w:ind w:left="440"/>
    </w:pPr>
  </w:style>
  <w:style w:type="character" w:styleId="Hyperlink">
    <w:name w:val="Hyperlink"/>
    <w:basedOn w:val="DefaultParagraphFont"/>
    <w:uiPriority w:val="99"/>
    <w:unhideWhenUsed/>
    <w:rsid w:val="00A447E4"/>
    <w:rPr>
      <w:color w:val="0563C1" w:themeColor="hyperlink"/>
      <w:u w:val="single"/>
    </w:rPr>
  </w:style>
  <w:style w:type="character" w:customStyle="1" w:styleId="ListParagraphChar">
    <w:name w:val="List Paragraph Char"/>
    <w:basedOn w:val="DefaultParagraphFont"/>
    <w:link w:val="ListParagraph"/>
    <w:uiPriority w:val="34"/>
    <w:locked/>
    <w:rsid w:val="00A447E4"/>
  </w:style>
  <w:style w:type="paragraph" w:styleId="Header">
    <w:name w:val="header"/>
    <w:basedOn w:val="Normal"/>
    <w:link w:val="HeaderChar"/>
    <w:uiPriority w:val="99"/>
    <w:unhideWhenUsed/>
    <w:rsid w:val="00A44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E4"/>
  </w:style>
  <w:style w:type="character" w:styleId="CommentReference">
    <w:name w:val="annotation reference"/>
    <w:basedOn w:val="DefaultParagraphFont"/>
    <w:uiPriority w:val="99"/>
    <w:semiHidden/>
    <w:unhideWhenUsed/>
    <w:rsid w:val="007C1BD6"/>
    <w:rPr>
      <w:sz w:val="16"/>
      <w:szCs w:val="16"/>
    </w:rPr>
  </w:style>
  <w:style w:type="paragraph" w:styleId="CommentText">
    <w:name w:val="annotation text"/>
    <w:basedOn w:val="Normal"/>
    <w:link w:val="CommentTextChar"/>
    <w:uiPriority w:val="99"/>
    <w:unhideWhenUsed/>
    <w:rsid w:val="007C1BD6"/>
    <w:pPr>
      <w:spacing w:line="240" w:lineRule="auto"/>
    </w:pPr>
    <w:rPr>
      <w:sz w:val="20"/>
      <w:szCs w:val="20"/>
    </w:rPr>
  </w:style>
  <w:style w:type="character" w:customStyle="1" w:styleId="CommentTextChar">
    <w:name w:val="Comment Text Char"/>
    <w:basedOn w:val="DefaultParagraphFont"/>
    <w:link w:val="CommentText"/>
    <w:uiPriority w:val="99"/>
    <w:rsid w:val="007C1BD6"/>
    <w:rPr>
      <w:sz w:val="20"/>
      <w:szCs w:val="20"/>
    </w:rPr>
  </w:style>
  <w:style w:type="paragraph" w:styleId="CommentSubject">
    <w:name w:val="annotation subject"/>
    <w:basedOn w:val="CommentText"/>
    <w:next w:val="CommentText"/>
    <w:link w:val="CommentSubjectChar"/>
    <w:uiPriority w:val="99"/>
    <w:semiHidden/>
    <w:unhideWhenUsed/>
    <w:rsid w:val="007C1BD6"/>
    <w:rPr>
      <w:b/>
      <w:bCs/>
    </w:rPr>
  </w:style>
  <w:style w:type="character" w:customStyle="1" w:styleId="CommentSubjectChar">
    <w:name w:val="Comment Subject Char"/>
    <w:basedOn w:val="CommentTextChar"/>
    <w:link w:val="CommentSubject"/>
    <w:uiPriority w:val="99"/>
    <w:semiHidden/>
    <w:rsid w:val="007C1BD6"/>
    <w:rPr>
      <w:b/>
      <w:bCs/>
      <w:sz w:val="20"/>
      <w:szCs w:val="20"/>
    </w:rPr>
  </w:style>
  <w:style w:type="paragraph" w:styleId="NormalWeb">
    <w:name w:val="Normal (Web)"/>
    <w:basedOn w:val="Normal"/>
    <w:uiPriority w:val="99"/>
    <w:unhideWhenUsed/>
    <w:rsid w:val="00131F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C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E6"/>
    <w:rPr>
      <w:rFonts w:ascii="Segoe UI" w:hAnsi="Segoe UI" w:cs="Segoe UI"/>
      <w:sz w:val="18"/>
      <w:szCs w:val="18"/>
    </w:rPr>
  </w:style>
  <w:style w:type="character" w:styleId="FollowedHyperlink">
    <w:name w:val="FollowedHyperlink"/>
    <w:basedOn w:val="DefaultParagraphFont"/>
    <w:uiPriority w:val="99"/>
    <w:semiHidden/>
    <w:unhideWhenUsed/>
    <w:rsid w:val="00774373"/>
    <w:rPr>
      <w:color w:val="954F72" w:themeColor="followedHyperlink"/>
      <w:u w:val="single"/>
    </w:rPr>
  </w:style>
  <w:style w:type="paragraph" w:customStyle="1" w:styleId="NoSpace">
    <w:name w:val="NoSpace"/>
    <w:basedOn w:val="Normal"/>
    <w:qFormat/>
    <w:rsid w:val="00D4493E"/>
    <w:pPr>
      <w:tabs>
        <w:tab w:val="left" w:pos="357"/>
        <w:tab w:val="left" w:pos="567"/>
      </w:tabs>
      <w:suppressAutoHyphens/>
      <w:spacing w:after="0" w:line="240" w:lineRule="auto"/>
    </w:pPr>
    <w:rPr>
      <w:rFonts w:ascii="Arial" w:eastAsia="Times New Roman" w:hAnsi="Arial" w:cs="Arial"/>
      <w:szCs w:val="20"/>
      <w:lang w:eastAsia="en-GB"/>
    </w:rPr>
  </w:style>
  <w:style w:type="table" w:styleId="TableGrid">
    <w:name w:val="Table Grid"/>
    <w:basedOn w:val="TableNormal"/>
    <w:uiPriority w:val="39"/>
    <w:rsid w:val="00D449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E50A3"/>
    <w:rPr>
      <w:color w:val="605E5C"/>
      <w:shd w:val="clear" w:color="auto" w:fill="E1DFDD"/>
    </w:rPr>
  </w:style>
  <w:style w:type="paragraph" w:styleId="Revision">
    <w:name w:val="Revision"/>
    <w:hidden/>
    <w:uiPriority w:val="99"/>
    <w:semiHidden/>
    <w:rsid w:val="000500FE"/>
    <w:pPr>
      <w:spacing w:after="0" w:line="240" w:lineRule="auto"/>
    </w:pPr>
  </w:style>
  <w:style w:type="table" w:customStyle="1" w:styleId="TableGrid1">
    <w:name w:val="Table Grid1"/>
    <w:basedOn w:val="TableNormal"/>
    <w:next w:val="TableGrid"/>
    <w:uiPriority w:val="59"/>
    <w:rsid w:val="004453BE"/>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54">
      <w:bodyDiv w:val="1"/>
      <w:marLeft w:val="0"/>
      <w:marRight w:val="0"/>
      <w:marTop w:val="0"/>
      <w:marBottom w:val="0"/>
      <w:divBdr>
        <w:top w:val="none" w:sz="0" w:space="0" w:color="auto"/>
        <w:left w:val="none" w:sz="0" w:space="0" w:color="auto"/>
        <w:bottom w:val="none" w:sz="0" w:space="0" w:color="auto"/>
        <w:right w:val="none" w:sz="0" w:space="0" w:color="auto"/>
      </w:divBdr>
    </w:div>
    <w:div w:id="48459886">
      <w:bodyDiv w:val="1"/>
      <w:marLeft w:val="0"/>
      <w:marRight w:val="0"/>
      <w:marTop w:val="0"/>
      <w:marBottom w:val="0"/>
      <w:divBdr>
        <w:top w:val="none" w:sz="0" w:space="0" w:color="auto"/>
        <w:left w:val="none" w:sz="0" w:space="0" w:color="auto"/>
        <w:bottom w:val="none" w:sz="0" w:space="0" w:color="auto"/>
        <w:right w:val="none" w:sz="0" w:space="0" w:color="auto"/>
      </w:divBdr>
    </w:div>
    <w:div w:id="124810137">
      <w:bodyDiv w:val="1"/>
      <w:marLeft w:val="0"/>
      <w:marRight w:val="0"/>
      <w:marTop w:val="0"/>
      <w:marBottom w:val="0"/>
      <w:divBdr>
        <w:top w:val="none" w:sz="0" w:space="0" w:color="auto"/>
        <w:left w:val="none" w:sz="0" w:space="0" w:color="auto"/>
        <w:bottom w:val="none" w:sz="0" w:space="0" w:color="auto"/>
        <w:right w:val="none" w:sz="0" w:space="0" w:color="auto"/>
      </w:divBdr>
    </w:div>
    <w:div w:id="142553240">
      <w:bodyDiv w:val="1"/>
      <w:marLeft w:val="0"/>
      <w:marRight w:val="0"/>
      <w:marTop w:val="0"/>
      <w:marBottom w:val="0"/>
      <w:divBdr>
        <w:top w:val="none" w:sz="0" w:space="0" w:color="auto"/>
        <w:left w:val="none" w:sz="0" w:space="0" w:color="auto"/>
        <w:bottom w:val="none" w:sz="0" w:space="0" w:color="auto"/>
        <w:right w:val="none" w:sz="0" w:space="0" w:color="auto"/>
      </w:divBdr>
    </w:div>
    <w:div w:id="204408263">
      <w:bodyDiv w:val="1"/>
      <w:marLeft w:val="0"/>
      <w:marRight w:val="0"/>
      <w:marTop w:val="0"/>
      <w:marBottom w:val="0"/>
      <w:divBdr>
        <w:top w:val="none" w:sz="0" w:space="0" w:color="auto"/>
        <w:left w:val="none" w:sz="0" w:space="0" w:color="auto"/>
        <w:bottom w:val="none" w:sz="0" w:space="0" w:color="auto"/>
        <w:right w:val="none" w:sz="0" w:space="0" w:color="auto"/>
      </w:divBdr>
    </w:div>
    <w:div w:id="205408492">
      <w:bodyDiv w:val="1"/>
      <w:marLeft w:val="0"/>
      <w:marRight w:val="0"/>
      <w:marTop w:val="0"/>
      <w:marBottom w:val="0"/>
      <w:divBdr>
        <w:top w:val="none" w:sz="0" w:space="0" w:color="auto"/>
        <w:left w:val="none" w:sz="0" w:space="0" w:color="auto"/>
        <w:bottom w:val="none" w:sz="0" w:space="0" w:color="auto"/>
        <w:right w:val="none" w:sz="0" w:space="0" w:color="auto"/>
      </w:divBdr>
    </w:div>
    <w:div w:id="333072370">
      <w:bodyDiv w:val="1"/>
      <w:marLeft w:val="0"/>
      <w:marRight w:val="0"/>
      <w:marTop w:val="0"/>
      <w:marBottom w:val="0"/>
      <w:divBdr>
        <w:top w:val="none" w:sz="0" w:space="0" w:color="auto"/>
        <w:left w:val="none" w:sz="0" w:space="0" w:color="auto"/>
        <w:bottom w:val="none" w:sz="0" w:space="0" w:color="auto"/>
        <w:right w:val="none" w:sz="0" w:space="0" w:color="auto"/>
      </w:divBdr>
    </w:div>
    <w:div w:id="423842822">
      <w:bodyDiv w:val="1"/>
      <w:marLeft w:val="0"/>
      <w:marRight w:val="0"/>
      <w:marTop w:val="0"/>
      <w:marBottom w:val="0"/>
      <w:divBdr>
        <w:top w:val="none" w:sz="0" w:space="0" w:color="auto"/>
        <w:left w:val="none" w:sz="0" w:space="0" w:color="auto"/>
        <w:bottom w:val="none" w:sz="0" w:space="0" w:color="auto"/>
        <w:right w:val="none" w:sz="0" w:space="0" w:color="auto"/>
      </w:divBdr>
    </w:div>
    <w:div w:id="426120913">
      <w:bodyDiv w:val="1"/>
      <w:marLeft w:val="0"/>
      <w:marRight w:val="0"/>
      <w:marTop w:val="0"/>
      <w:marBottom w:val="0"/>
      <w:divBdr>
        <w:top w:val="none" w:sz="0" w:space="0" w:color="auto"/>
        <w:left w:val="none" w:sz="0" w:space="0" w:color="auto"/>
        <w:bottom w:val="none" w:sz="0" w:space="0" w:color="auto"/>
        <w:right w:val="none" w:sz="0" w:space="0" w:color="auto"/>
      </w:divBdr>
    </w:div>
    <w:div w:id="491219645">
      <w:bodyDiv w:val="1"/>
      <w:marLeft w:val="0"/>
      <w:marRight w:val="0"/>
      <w:marTop w:val="0"/>
      <w:marBottom w:val="0"/>
      <w:divBdr>
        <w:top w:val="none" w:sz="0" w:space="0" w:color="auto"/>
        <w:left w:val="none" w:sz="0" w:space="0" w:color="auto"/>
        <w:bottom w:val="none" w:sz="0" w:space="0" w:color="auto"/>
        <w:right w:val="none" w:sz="0" w:space="0" w:color="auto"/>
      </w:divBdr>
    </w:div>
    <w:div w:id="528570576">
      <w:bodyDiv w:val="1"/>
      <w:marLeft w:val="0"/>
      <w:marRight w:val="0"/>
      <w:marTop w:val="0"/>
      <w:marBottom w:val="0"/>
      <w:divBdr>
        <w:top w:val="none" w:sz="0" w:space="0" w:color="auto"/>
        <w:left w:val="none" w:sz="0" w:space="0" w:color="auto"/>
        <w:bottom w:val="none" w:sz="0" w:space="0" w:color="auto"/>
        <w:right w:val="none" w:sz="0" w:space="0" w:color="auto"/>
      </w:divBdr>
    </w:div>
    <w:div w:id="569775918">
      <w:bodyDiv w:val="1"/>
      <w:marLeft w:val="0"/>
      <w:marRight w:val="0"/>
      <w:marTop w:val="0"/>
      <w:marBottom w:val="0"/>
      <w:divBdr>
        <w:top w:val="none" w:sz="0" w:space="0" w:color="auto"/>
        <w:left w:val="none" w:sz="0" w:space="0" w:color="auto"/>
        <w:bottom w:val="none" w:sz="0" w:space="0" w:color="auto"/>
        <w:right w:val="none" w:sz="0" w:space="0" w:color="auto"/>
      </w:divBdr>
    </w:div>
    <w:div w:id="622735991">
      <w:bodyDiv w:val="1"/>
      <w:marLeft w:val="0"/>
      <w:marRight w:val="0"/>
      <w:marTop w:val="0"/>
      <w:marBottom w:val="0"/>
      <w:divBdr>
        <w:top w:val="none" w:sz="0" w:space="0" w:color="auto"/>
        <w:left w:val="none" w:sz="0" w:space="0" w:color="auto"/>
        <w:bottom w:val="none" w:sz="0" w:space="0" w:color="auto"/>
        <w:right w:val="none" w:sz="0" w:space="0" w:color="auto"/>
      </w:divBdr>
    </w:div>
    <w:div w:id="657197049">
      <w:bodyDiv w:val="1"/>
      <w:marLeft w:val="0"/>
      <w:marRight w:val="0"/>
      <w:marTop w:val="0"/>
      <w:marBottom w:val="0"/>
      <w:divBdr>
        <w:top w:val="none" w:sz="0" w:space="0" w:color="auto"/>
        <w:left w:val="none" w:sz="0" w:space="0" w:color="auto"/>
        <w:bottom w:val="none" w:sz="0" w:space="0" w:color="auto"/>
        <w:right w:val="none" w:sz="0" w:space="0" w:color="auto"/>
      </w:divBdr>
    </w:div>
    <w:div w:id="708264778">
      <w:bodyDiv w:val="1"/>
      <w:marLeft w:val="0"/>
      <w:marRight w:val="0"/>
      <w:marTop w:val="0"/>
      <w:marBottom w:val="0"/>
      <w:divBdr>
        <w:top w:val="none" w:sz="0" w:space="0" w:color="auto"/>
        <w:left w:val="none" w:sz="0" w:space="0" w:color="auto"/>
        <w:bottom w:val="none" w:sz="0" w:space="0" w:color="auto"/>
        <w:right w:val="none" w:sz="0" w:space="0" w:color="auto"/>
      </w:divBdr>
    </w:div>
    <w:div w:id="722603465">
      <w:bodyDiv w:val="1"/>
      <w:marLeft w:val="0"/>
      <w:marRight w:val="0"/>
      <w:marTop w:val="0"/>
      <w:marBottom w:val="0"/>
      <w:divBdr>
        <w:top w:val="none" w:sz="0" w:space="0" w:color="auto"/>
        <w:left w:val="none" w:sz="0" w:space="0" w:color="auto"/>
        <w:bottom w:val="none" w:sz="0" w:space="0" w:color="auto"/>
        <w:right w:val="none" w:sz="0" w:space="0" w:color="auto"/>
      </w:divBdr>
    </w:div>
    <w:div w:id="754668025">
      <w:bodyDiv w:val="1"/>
      <w:marLeft w:val="0"/>
      <w:marRight w:val="0"/>
      <w:marTop w:val="0"/>
      <w:marBottom w:val="0"/>
      <w:divBdr>
        <w:top w:val="none" w:sz="0" w:space="0" w:color="auto"/>
        <w:left w:val="none" w:sz="0" w:space="0" w:color="auto"/>
        <w:bottom w:val="none" w:sz="0" w:space="0" w:color="auto"/>
        <w:right w:val="none" w:sz="0" w:space="0" w:color="auto"/>
      </w:divBdr>
    </w:div>
    <w:div w:id="862865804">
      <w:bodyDiv w:val="1"/>
      <w:marLeft w:val="0"/>
      <w:marRight w:val="0"/>
      <w:marTop w:val="0"/>
      <w:marBottom w:val="0"/>
      <w:divBdr>
        <w:top w:val="none" w:sz="0" w:space="0" w:color="auto"/>
        <w:left w:val="none" w:sz="0" w:space="0" w:color="auto"/>
        <w:bottom w:val="none" w:sz="0" w:space="0" w:color="auto"/>
        <w:right w:val="none" w:sz="0" w:space="0" w:color="auto"/>
      </w:divBdr>
    </w:div>
    <w:div w:id="927735379">
      <w:bodyDiv w:val="1"/>
      <w:marLeft w:val="0"/>
      <w:marRight w:val="0"/>
      <w:marTop w:val="0"/>
      <w:marBottom w:val="0"/>
      <w:divBdr>
        <w:top w:val="none" w:sz="0" w:space="0" w:color="auto"/>
        <w:left w:val="none" w:sz="0" w:space="0" w:color="auto"/>
        <w:bottom w:val="none" w:sz="0" w:space="0" w:color="auto"/>
        <w:right w:val="none" w:sz="0" w:space="0" w:color="auto"/>
      </w:divBdr>
    </w:div>
    <w:div w:id="961619354">
      <w:bodyDiv w:val="1"/>
      <w:marLeft w:val="0"/>
      <w:marRight w:val="0"/>
      <w:marTop w:val="0"/>
      <w:marBottom w:val="0"/>
      <w:divBdr>
        <w:top w:val="none" w:sz="0" w:space="0" w:color="auto"/>
        <w:left w:val="none" w:sz="0" w:space="0" w:color="auto"/>
        <w:bottom w:val="none" w:sz="0" w:space="0" w:color="auto"/>
        <w:right w:val="none" w:sz="0" w:space="0" w:color="auto"/>
      </w:divBdr>
    </w:div>
    <w:div w:id="967012579">
      <w:bodyDiv w:val="1"/>
      <w:marLeft w:val="0"/>
      <w:marRight w:val="0"/>
      <w:marTop w:val="0"/>
      <w:marBottom w:val="0"/>
      <w:divBdr>
        <w:top w:val="none" w:sz="0" w:space="0" w:color="auto"/>
        <w:left w:val="none" w:sz="0" w:space="0" w:color="auto"/>
        <w:bottom w:val="none" w:sz="0" w:space="0" w:color="auto"/>
        <w:right w:val="none" w:sz="0" w:space="0" w:color="auto"/>
      </w:divBdr>
    </w:div>
    <w:div w:id="1106466517">
      <w:bodyDiv w:val="1"/>
      <w:marLeft w:val="0"/>
      <w:marRight w:val="0"/>
      <w:marTop w:val="0"/>
      <w:marBottom w:val="0"/>
      <w:divBdr>
        <w:top w:val="none" w:sz="0" w:space="0" w:color="auto"/>
        <w:left w:val="none" w:sz="0" w:space="0" w:color="auto"/>
        <w:bottom w:val="none" w:sz="0" w:space="0" w:color="auto"/>
        <w:right w:val="none" w:sz="0" w:space="0" w:color="auto"/>
      </w:divBdr>
    </w:div>
    <w:div w:id="1118838730">
      <w:bodyDiv w:val="1"/>
      <w:marLeft w:val="0"/>
      <w:marRight w:val="0"/>
      <w:marTop w:val="0"/>
      <w:marBottom w:val="0"/>
      <w:divBdr>
        <w:top w:val="none" w:sz="0" w:space="0" w:color="auto"/>
        <w:left w:val="none" w:sz="0" w:space="0" w:color="auto"/>
        <w:bottom w:val="none" w:sz="0" w:space="0" w:color="auto"/>
        <w:right w:val="none" w:sz="0" w:space="0" w:color="auto"/>
      </w:divBdr>
    </w:div>
    <w:div w:id="1157650970">
      <w:bodyDiv w:val="1"/>
      <w:marLeft w:val="0"/>
      <w:marRight w:val="0"/>
      <w:marTop w:val="0"/>
      <w:marBottom w:val="0"/>
      <w:divBdr>
        <w:top w:val="none" w:sz="0" w:space="0" w:color="auto"/>
        <w:left w:val="none" w:sz="0" w:space="0" w:color="auto"/>
        <w:bottom w:val="none" w:sz="0" w:space="0" w:color="auto"/>
        <w:right w:val="none" w:sz="0" w:space="0" w:color="auto"/>
      </w:divBdr>
    </w:div>
    <w:div w:id="1168863892">
      <w:bodyDiv w:val="1"/>
      <w:marLeft w:val="0"/>
      <w:marRight w:val="0"/>
      <w:marTop w:val="0"/>
      <w:marBottom w:val="0"/>
      <w:divBdr>
        <w:top w:val="none" w:sz="0" w:space="0" w:color="auto"/>
        <w:left w:val="none" w:sz="0" w:space="0" w:color="auto"/>
        <w:bottom w:val="none" w:sz="0" w:space="0" w:color="auto"/>
        <w:right w:val="none" w:sz="0" w:space="0" w:color="auto"/>
      </w:divBdr>
    </w:div>
    <w:div w:id="1178814308">
      <w:bodyDiv w:val="1"/>
      <w:marLeft w:val="0"/>
      <w:marRight w:val="0"/>
      <w:marTop w:val="0"/>
      <w:marBottom w:val="0"/>
      <w:divBdr>
        <w:top w:val="none" w:sz="0" w:space="0" w:color="auto"/>
        <w:left w:val="none" w:sz="0" w:space="0" w:color="auto"/>
        <w:bottom w:val="none" w:sz="0" w:space="0" w:color="auto"/>
        <w:right w:val="none" w:sz="0" w:space="0" w:color="auto"/>
      </w:divBdr>
    </w:div>
    <w:div w:id="1232081816">
      <w:bodyDiv w:val="1"/>
      <w:marLeft w:val="0"/>
      <w:marRight w:val="0"/>
      <w:marTop w:val="0"/>
      <w:marBottom w:val="0"/>
      <w:divBdr>
        <w:top w:val="none" w:sz="0" w:space="0" w:color="auto"/>
        <w:left w:val="none" w:sz="0" w:space="0" w:color="auto"/>
        <w:bottom w:val="none" w:sz="0" w:space="0" w:color="auto"/>
        <w:right w:val="none" w:sz="0" w:space="0" w:color="auto"/>
      </w:divBdr>
    </w:div>
    <w:div w:id="1238707771">
      <w:bodyDiv w:val="1"/>
      <w:marLeft w:val="0"/>
      <w:marRight w:val="0"/>
      <w:marTop w:val="0"/>
      <w:marBottom w:val="0"/>
      <w:divBdr>
        <w:top w:val="none" w:sz="0" w:space="0" w:color="auto"/>
        <w:left w:val="none" w:sz="0" w:space="0" w:color="auto"/>
        <w:bottom w:val="none" w:sz="0" w:space="0" w:color="auto"/>
        <w:right w:val="none" w:sz="0" w:space="0" w:color="auto"/>
      </w:divBdr>
    </w:div>
    <w:div w:id="1306543688">
      <w:bodyDiv w:val="1"/>
      <w:marLeft w:val="0"/>
      <w:marRight w:val="0"/>
      <w:marTop w:val="0"/>
      <w:marBottom w:val="0"/>
      <w:divBdr>
        <w:top w:val="none" w:sz="0" w:space="0" w:color="auto"/>
        <w:left w:val="none" w:sz="0" w:space="0" w:color="auto"/>
        <w:bottom w:val="none" w:sz="0" w:space="0" w:color="auto"/>
        <w:right w:val="none" w:sz="0" w:space="0" w:color="auto"/>
      </w:divBdr>
    </w:div>
    <w:div w:id="1335576123">
      <w:bodyDiv w:val="1"/>
      <w:marLeft w:val="0"/>
      <w:marRight w:val="0"/>
      <w:marTop w:val="0"/>
      <w:marBottom w:val="0"/>
      <w:divBdr>
        <w:top w:val="none" w:sz="0" w:space="0" w:color="auto"/>
        <w:left w:val="none" w:sz="0" w:space="0" w:color="auto"/>
        <w:bottom w:val="none" w:sz="0" w:space="0" w:color="auto"/>
        <w:right w:val="none" w:sz="0" w:space="0" w:color="auto"/>
      </w:divBdr>
    </w:div>
    <w:div w:id="1388215822">
      <w:bodyDiv w:val="1"/>
      <w:marLeft w:val="0"/>
      <w:marRight w:val="0"/>
      <w:marTop w:val="0"/>
      <w:marBottom w:val="0"/>
      <w:divBdr>
        <w:top w:val="none" w:sz="0" w:space="0" w:color="auto"/>
        <w:left w:val="none" w:sz="0" w:space="0" w:color="auto"/>
        <w:bottom w:val="none" w:sz="0" w:space="0" w:color="auto"/>
        <w:right w:val="none" w:sz="0" w:space="0" w:color="auto"/>
      </w:divBdr>
    </w:div>
    <w:div w:id="1409111869">
      <w:bodyDiv w:val="1"/>
      <w:marLeft w:val="0"/>
      <w:marRight w:val="0"/>
      <w:marTop w:val="0"/>
      <w:marBottom w:val="0"/>
      <w:divBdr>
        <w:top w:val="none" w:sz="0" w:space="0" w:color="auto"/>
        <w:left w:val="none" w:sz="0" w:space="0" w:color="auto"/>
        <w:bottom w:val="none" w:sz="0" w:space="0" w:color="auto"/>
        <w:right w:val="none" w:sz="0" w:space="0" w:color="auto"/>
      </w:divBdr>
    </w:div>
    <w:div w:id="1477255769">
      <w:bodyDiv w:val="1"/>
      <w:marLeft w:val="0"/>
      <w:marRight w:val="0"/>
      <w:marTop w:val="0"/>
      <w:marBottom w:val="0"/>
      <w:divBdr>
        <w:top w:val="none" w:sz="0" w:space="0" w:color="auto"/>
        <w:left w:val="none" w:sz="0" w:space="0" w:color="auto"/>
        <w:bottom w:val="none" w:sz="0" w:space="0" w:color="auto"/>
        <w:right w:val="none" w:sz="0" w:space="0" w:color="auto"/>
      </w:divBdr>
    </w:div>
    <w:div w:id="1506481295">
      <w:bodyDiv w:val="1"/>
      <w:marLeft w:val="0"/>
      <w:marRight w:val="0"/>
      <w:marTop w:val="0"/>
      <w:marBottom w:val="0"/>
      <w:divBdr>
        <w:top w:val="none" w:sz="0" w:space="0" w:color="auto"/>
        <w:left w:val="none" w:sz="0" w:space="0" w:color="auto"/>
        <w:bottom w:val="none" w:sz="0" w:space="0" w:color="auto"/>
        <w:right w:val="none" w:sz="0" w:space="0" w:color="auto"/>
      </w:divBdr>
    </w:div>
    <w:div w:id="1522283930">
      <w:bodyDiv w:val="1"/>
      <w:marLeft w:val="0"/>
      <w:marRight w:val="0"/>
      <w:marTop w:val="0"/>
      <w:marBottom w:val="0"/>
      <w:divBdr>
        <w:top w:val="none" w:sz="0" w:space="0" w:color="auto"/>
        <w:left w:val="none" w:sz="0" w:space="0" w:color="auto"/>
        <w:bottom w:val="none" w:sz="0" w:space="0" w:color="auto"/>
        <w:right w:val="none" w:sz="0" w:space="0" w:color="auto"/>
      </w:divBdr>
    </w:div>
    <w:div w:id="1578392929">
      <w:bodyDiv w:val="1"/>
      <w:marLeft w:val="0"/>
      <w:marRight w:val="0"/>
      <w:marTop w:val="0"/>
      <w:marBottom w:val="0"/>
      <w:divBdr>
        <w:top w:val="none" w:sz="0" w:space="0" w:color="auto"/>
        <w:left w:val="none" w:sz="0" w:space="0" w:color="auto"/>
        <w:bottom w:val="none" w:sz="0" w:space="0" w:color="auto"/>
        <w:right w:val="none" w:sz="0" w:space="0" w:color="auto"/>
      </w:divBdr>
    </w:div>
    <w:div w:id="1629631244">
      <w:bodyDiv w:val="1"/>
      <w:marLeft w:val="0"/>
      <w:marRight w:val="0"/>
      <w:marTop w:val="0"/>
      <w:marBottom w:val="0"/>
      <w:divBdr>
        <w:top w:val="none" w:sz="0" w:space="0" w:color="auto"/>
        <w:left w:val="none" w:sz="0" w:space="0" w:color="auto"/>
        <w:bottom w:val="none" w:sz="0" w:space="0" w:color="auto"/>
        <w:right w:val="none" w:sz="0" w:space="0" w:color="auto"/>
      </w:divBdr>
    </w:div>
    <w:div w:id="1777869132">
      <w:bodyDiv w:val="1"/>
      <w:marLeft w:val="0"/>
      <w:marRight w:val="0"/>
      <w:marTop w:val="0"/>
      <w:marBottom w:val="0"/>
      <w:divBdr>
        <w:top w:val="none" w:sz="0" w:space="0" w:color="auto"/>
        <w:left w:val="none" w:sz="0" w:space="0" w:color="auto"/>
        <w:bottom w:val="none" w:sz="0" w:space="0" w:color="auto"/>
        <w:right w:val="none" w:sz="0" w:space="0" w:color="auto"/>
      </w:divBdr>
    </w:div>
    <w:div w:id="1950699630">
      <w:bodyDiv w:val="1"/>
      <w:marLeft w:val="0"/>
      <w:marRight w:val="0"/>
      <w:marTop w:val="0"/>
      <w:marBottom w:val="0"/>
      <w:divBdr>
        <w:top w:val="none" w:sz="0" w:space="0" w:color="auto"/>
        <w:left w:val="none" w:sz="0" w:space="0" w:color="auto"/>
        <w:bottom w:val="none" w:sz="0" w:space="0" w:color="auto"/>
        <w:right w:val="none" w:sz="0" w:space="0" w:color="auto"/>
      </w:divBdr>
    </w:div>
    <w:div w:id="2004580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pprenticeshipdevelopment@sds.co.uk" TargetMode="External"/><Relationship Id="rId4" Type="http://schemas.openxmlformats.org/officeDocument/2006/relationships/settings" Target="settings.xml"/><Relationship Id="rId9" Type="http://schemas.openxmlformats.org/officeDocument/2006/relationships/hyperlink" Target="https://www.skillsdevelopmentscotland.co.uk/what-we-do/skills-planning/skills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48824-9B08-4E0C-8496-EFEA1E7EA46E}">
  <ds:schemaRefs>
    <ds:schemaRef ds:uri="http://schemas.openxmlformats.org/officeDocument/2006/bibliography"/>
  </ds:schemaRefs>
</ds:datastoreItem>
</file>

<file path=docMetadata/LabelInfo.xml><?xml version="1.0" encoding="utf-8"?>
<clbl:labelList xmlns:clbl="http://schemas.microsoft.com/office/2020/mipLabelMetadata">
  <clbl:label id="{cdb5124c-a56e-47e1-8444-7a6f9085be98}" enabled="1" method="Standard" siteId="{0b26221c-c008-47b1-94c7-58a0b89761cc}" removed="0"/>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3091</Words>
  <Characters>17621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 Engineering SCQF Level 7 assessment strategy</dc:title>
  <dc:subject/>
  <dc:creator>Alan Inglis</dc:creator>
  <cp:keywords/>
  <dc:description/>
  <cp:lastModifiedBy>John Tweedie</cp:lastModifiedBy>
  <cp:revision>2</cp:revision>
  <dcterms:created xsi:type="dcterms:W3CDTF">2025-04-07T15:23:00Z</dcterms:created>
  <dcterms:modified xsi:type="dcterms:W3CDTF">2025-04-07T15:23:00Z</dcterms:modified>
</cp:coreProperties>
</file>