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98263" w14:textId="52758EE0" w:rsidR="21F02E9A" w:rsidRPr="005F3206" w:rsidRDefault="21F02E9A" w:rsidP="40986C69">
      <w:pPr>
        <w:rPr>
          <w:rFonts w:eastAsia="Times New Roman" w:cstheme="minorHAnsi"/>
          <w:b/>
          <w:bCs/>
        </w:rPr>
      </w:pPr>
      <w:r w:rsidRPr="005F3206">
        <w:rPr>
          <w:rFonts w:eastAsia="Times New Roman" w:cstheme="minorHAnsi"/>
          <w:b/>
          <w:bCs/>
        </w:rPr>
        <w:t>Freedom of Information Request: Grade Boundaries (June 8</w:t>
      </w:r>
      <w:r w:rsidRPr="005F3206">
        <w:rPr>
          <w:rFonts w:eastAsia="Times New Roman" w:cstheme="minorHAnsi"/>
          <w:b/>
          <w:bCs/>
          <w:vertAlign w:val="superscript"/>
        </w:rPr>
        <w:t>th</w:t>
      </w:r>
      <w:proofErr w:type="gramStart"/>
      <w:r w:rsidRPr="005F3206">
        <w:rPr>
          <w:rFonts w:eastAsia="Times New Roman" w:cstheme="minorHAnsi"/>
          <w:b/>
          <w:bCs/>
        </w:rPr>
        <w:t xml:space="preserve"> 2021</w:t>
      </w:r>
      <w:proofErr w:type="gramEnd"/>
      <w:r w:rsidRPr="005F3206">
        <w:rPr>
          <w:rFonts w:eastAsia="Times New Roman" w:cstheme="minorHAnsi"/>
          <w:b/>
          <w:bCs/>
        </w:rPr>
        <w:t>)</w:t>
      </w:r>
    </w:p>
    <w:p w14:paraId="4C61366B" w14:textId="69320EFC" w:rsidR="21F02E9A" w:rsidRPr="005F3206" w:rsidRDefault="21F02E9A" w:rsidP="40986C69">
      <w:pPr>
        <w:rPr>
          <w:rFonts w:eastAsia="Times New Roman" w:cstheme="minorHAnsi"/>
          <w:b/>
          <w:bCs/>
        </w:rPr>
      </w:pPr>
      <w:r w:rsidRPr="005F3206">
        <w:rPr>
          <w:rFonts w:eastAsia="Times New Roman" w:cstheme="minorHAnsi"/>
          <w:b/>
          <w:bCs/>
        </w:rPr>
        <w:t>Original Request</w:t>
      </w:r>
    </w:p>
    <w:p w14:paraId="7F79DDD4" w14:textId="4720CBBC" w:rsidR="00271399" w:rsidRPr="005F3206" w:rsidRDefault="003B2BB3" w:rsidP="00271399">
      <w:pPr>
        <w:ind w:firstLine="720"/>
        <w:rPr>
          <w:rFonts w:eastAsia="Times New Roman" w:cstheme="minorHAnsi"/>
          <w:i/>
          <w:iCs/>
        </w:rPr>
      </w:pPr>
      <w:r w:rsidRPr="005F3206">
        <w:rPr>
          <w:rFonts w:eastAsia="Times New Roman" w:cstheme="minorHAnsi"/>
          <w:i/>
          <w:iCs/>
        </w:rPr>
        <w:t>‘</w:t>
      </w:r>
      <w:r w:rsidR="00271399" w:rsidRPr="005F3206">
        <w:rPr>
          <w:rFonts w:eastAsia="Times New Roman" w:cstheme="minorHAnsi"/>
          <w:i/>
          <w:iCs/>
        </w:rPr>
        <w:t xml:space="preserve">The SQA document ‘A Guide to Setting Grade Boundaries’, describes who is involved in awarding meetings, what their roles are, and the sequence of standing agenda items. It does not describe precisely how the grade boundaries are adjusted other than as a vague statement that “Grade boundaries are set in line with the intended demand of the assessment. If the assessment did not function as intended, the grade boundaries are adjusted appropriately” (page 4). There is only one way to interpret this which is that if the exam resulted in more or fewer candidates achieving certain marks then the grade boundaries are moved to keep the proportions in line with a pre-defined statistical distribution. In essence, norm referencing in used to determine grades. </w:t>
      </w:r>
    </w:p>
    <w:p w14:paraId="6812D686" w14:textId="77777777" w:rsidR="00271399" w:rsidRPr="005F3206" w:rsidRDefault="00271399" w:rsidP="00271399">
      <w:pPr>
        <w:ind w:firstLine="720"/>
        <w:rPr>
          <w:rFonts w:eastAsia="Times New Roman" w:cstheme="minorHAnsi"/>
          <w:i/>
          <w:iCs/>
        </w:rPr>
      </w:pPr>
      <w:r w:rsidRPr="005F3206">
        <w:rPr>
          <w:rFonts w:eastAsia="Times New Roman" w:cstheme="minorHAnsi"/>
          <w:i/>
          <w:iCs/>
        </w:rPr>
        <w:t xml:space="preserve">Setting grade boundaries after the exam is not equitable nor defensible. Looking at marks and then deciding whether the exam is notionally hard or easy inevitably means that individual candidates will be disadvantaged. Best practice is for boundaries to be set before the exam. The </w:t>
      </w:r>
      <w:proofErr w:type="spellStart"/>
      <w:r w:rsidRPr="005F3206">
        <w:rPr>
          <w:rFonts w:eastAsia="Times New Roman" w:cstheme="minorHAnsi"/>
          <w:i/>
          <w:iCs/>
        </w:rPr>
        <w:t>Angoff</w:t>
      </w:r>
      <w:proofErr w:type="spellEnd"/>
      <w:r w:rsidRPr="005F3206">
        <w:rPr>
          <w:rFonts w:eastAsia="Times New Roman" w:cstheme="minorHAnsi"/>
          <w:i/>
          <w:iCs/>
        </w:rPr>
        <w:t xml:space="preserve"> process uses subject specialists to set grade boundaries and objectively normalises the difficulty of the exam year on year. This process is often used in universities and other institutions to maintain standards. In the National Qualifications 2020 </w:t>
      </w:r>
      <w:proofErr w:type="gramStart"/>
      <w:r w:rsidRPr="005F3206">
        <w:rPr>
          <w:rFonts w:eastAsia="Times New Roman" w:cstheme="minorHAnsi"/>
          <w:i/>
          <w:iCs/>
        </w:rPr>
        <w:t>Awarding ?</w:t>
      </w:r>
      <w:proofErr w:type="gramEnd"/>
      <w:r w:rsidRPr="005F3206">
        <w:rPr>
          <w:rFonts w:eastAsia="Times New Roman" w:cstheme="minorHAnsi"/>
          <w:i/>
          <w:iCs/>
        </w:rPr>
        <w:t xml:space="preserve"> </w:t>
      </w:r>
      <w:proofErr w:type="spellStart"/>
      <w:r w:rsidRPr="005F3206">
        <w:rPr>
          <w:rFonts w:eastAsia="Times New Roman" w:cstheme="minorHAnsi"/>
          <w:i/>
          <w:iCs/>
        </w:rPr>
        <w:t>Methodolgy</w:t>
      </w:r>
      <w:proofErr w:type="spellEnd"/>
      <w:r w:rsidRPr="005F3206">
        <w:rPr>
          <w:rFonts w:eastAsia="Times New Roman" w:cstheme="minorHAnsi"/>
          <w:i/>
          <w:iCs/>
        </w:rPr>
        <w:t xml:space="preserve"> Report it is stated </w:t>
      </w:r>
      <w:proofErr w:type="gramStart"/>
      <w:r w:rsidRPr="005F3206">
        <w:rPr>
          <w:rFonts w:eastAsia="Times New Roman" w:cstheme="minorHAnsi"/>
          <w:i/>
          <w:iCs/>
        </w:rPr>
        <w:t>that  “</w:t>
      </w:r>
      <w:proofErr w:type="gramEnd"/>
      <w:r w:rsidRPr="005F3206">
        <w:rPr>
          <w:rFonts w:eastAsia="Times New Roman" w:cstheme="minorHAnsi"/>
          <w:i/>
          <w:iCs/>
        </w:rPr>
        <w:t xml:space="preserve">during awarding meetings each year grade boundaries are set following a consideration of qualitative and quantitative information, for the current year and the three previous years” (page 3) without describing the nature of this information. On the same page of the </w:t>
      </w:r>
      <w:proofErr w:type="gramStart"/>
      <w:r w:rsidRPr="005F3206">
        <w:rPr>
          <w:rFonts w:eastAsia="Times New Roman" w:cstheme="minorHAnsi"/>
          <w:i/>
          <w:iCs/>
        </w:rPr>
        <w:t>Report</w:t>
      </w:r>
      <w:proofErr w:type="gramEnd"/>
      <w:r w:rsidRPr="005F3206">
        <w:rPr>
          <w:rFonts w:eastAsia="Times New Roman" w:cstheme="minorHAnsi"/>
          <w:i/>
          <w:iCs/>
        </w:rPr>
        <w:t xml:space="preserve"> it is stated that “the SQA does not explicitly use norm referencing” (page 3). This statement is ambiguous. Either the SQA uses norm referencing implicitly to set grade boundaries and is trying hide the fact; or that the SQA does not use norm referencing. </w:t>
      </w:r>
    </w:p>
    <w:p w14:paraId="145057D2" w14:textId="77777777" w:rsidR="003B2BB3" w:rsidRPr="005F3206" w:rsidRDefault="00271399" w:rsidP="00271399">
      <w:pPr>
        <w:ind w:firstLine="720"/>
        <w:rPr>
          <w:rFonts w:eastAsia="Times New Roman" w:cstheme="minorHAnsi"/>
        </w:rPr>
      </w:pPr>
      <w:r w:rsidRPr="005F3206">
        <w:rPr>
          <w:rFonts w:eastAsia="Times New Roman" w:cstheme="minorHAnsi"/>
          <w:i/>
          <w:iCs/>
        </w:rPr>
        <w:t xml:space="preserve">Examples given in the Report appear to suggest that norm referencing is used. For example, candidates are placed in rank order to determine their grade. Rank ordering implies that the grade boundaries were based on fixed proportions of the cohort being including in a grade. Consequently, a candidate </w:t>
      </w:r>
      <w:proofErr w:type="gramStart"/>
      <w:r w:rsidRPr="005F3206">
        <w:rPr>
          <w:rFonts w:eastAsia="Times New Roman" w:cstheme="minorHAnsi"/>
          <w:i/>
          <w:iCs/>
        </w:rPr>
        <w:t>close</w:t>
      </w:r>
      <w:proofErr w:type="gramEnd"/>
      <w:r w:rsidRPr="005F3206">
        <w:rPr>
          <w:rFonts w:eastAsia="Times New Roman" w:cstheme="minorHAnsi"/>
          <w:i/>
          <w:iCs/>
        </w:rPr>
        <w:t xml:space="preserve"> to, but above, a grade boundary could have been awarded the lower grade simply because more candidates had marks that were higher than them. This is exemplified by Table 17 and Figure 6 (page 35). Either a candidate achieved a given standard (notionally 70% and above to be awarded an A grade) or they did not: where they lay on the statistical distribution of marks should not be a consideration. The Annual Statistical Reports for 2016 through to 2019 show remarkable consistency in the percentage of candidates achieving the different grades from A to D for all levels of qualifications and across all subjects. This is unlikely to be the case if norm referencing is not used since the proportion of candidates achieving each grade would vary year on year. Given the evidence and comments above, there are grounds to believe that the SQA does indeed apply norm referencing to set grade boundaries and so disadvantage some candidates</w:t>
      </w:r>
      <w:r w:rsidRPr="005F3206">
        <w:rPr>
          <w:rFonts w:eastAsia="Times New Roman" w:cstheme="minorHAnsi"/>
        </w:rPr>
        <w:t xml:space="preserve">. </w:t>
      </w:r>
    </w:p>
    <w:p w14:paraId="2338D039" w14:textId="5034CAAE" w:rsidR="00271399" w:rsidRPr="00EB3CA7" w:rsidRDefault="00271399" w:rsidP="00271399">
      <w:pPr>
        <w:ind w:firstLine="720"/>
        <w:rPr>
          <w:rFonts w:eastAsia="Times New Roman" w:cstheme="minorHAnsi"/>
        </w:rPr>
      </w:pPr>
      <w:r w:rsidRPr="00EB3CA7">
        <w:rPr>
          <w:rFonts w:eastAsia="Times New Roman" w:cstheme="minorHAnsi"/>
        </w:rPr>
        <w:t xml:space="preserve">To fulfil its obligations defined in the FOISA, the SQA needs: </w:t>
      </w:r>
    </w:p>
    <w:p w14:paraId="636404A6" w14:textId="77777777" w:rsidR="00271399" w:rsidRPr="00EB3CA7" w:rsidRDefault="00271399" w:rsidP="00271399">
      <w:pPr>
        <w:ind w:firstLine="720"/>
        <w:rPr>
          <w:rFonts w:eastAsia="Times New Roman" w:cstheme="minorHAnsi"/>
        </w:rPr>
      </w:pPr>
      <w:r w:rsidRPr="00EB3CA7">
        <w:rPr>
          <w:rFonts w:eastAsia="Times New Roman" w:cstheme="minorHAnsi"/>
        </w:rPr>
        <w:t xml:space="preserve">1. To provide a precise and full description of how the grade boundaries are </w:t>
      </w:r>
      <w:proofErr w:type="gramStart"/>
      <w:r w:rsidRPr="00EB3CA7">
        <w:rPr>
          <w:rFonts w:eastAsia="Times New Roman" w:cstheme="minorHAnsi"/>
        </w:rPr>
        <w:t>actually determined</w:t>
      </w:r>
      <w:proofErr w:type="gramEnd"/>
      <w:r w:rsidRPr="00EB3CA7">
        <w:rPr>
          <w:rFonts w:eastAsia="Times New Roman" w:cstheme="minorHAnsi"/>
        </w:rPr>
        <w:t xml:space="preserve"> from year to year. </w:t>
      </w:r>
    </w:p>
    <w:p w14:paraId="6F79209E" w14:textId="77777777" w:rsidR="00271399" w:rsidRPr="00EB3CA7" w:rsidRDefault="00271399" w:rsidP="00271399">
      <w:pPr>
        <w:ind w:firstLine="720"/>
        <w:rPr>
          <w:rFonts w:eastAsia="Times New Roman" w:cstheme="minorHAnsi"/>
        </w:rPr>
      </w:pPr>
      <w:r w:rsidRPr="00EB3CA7">
        <w:rPr>
          <w:rFonts w:eastAsia="Times New Roman" w:cstheme="minorHAnsi"/>
        </w:rPr>
        <w:t xml:space="preserve">2. To answer why the annual percentage of the different grades (A to D) for each of the National 5, Higher, and Advanced Higher National Qualifications and across subjects is remarkably consistent year on year if norm referencing is not used? </w:t>
      </w:r>
    </w:p>
    <w:p w14:paraId="39B9D752" w14:textId="77777777" w:rsidR="00271399" w:rsidRPr="00EB3CA7" w:rsidRDefault="00271399" w:rsidP="00271399">
      <w:pPr>
        <w:ind w:firstLine="720"/>
        <w:rPr>
          <w:rFonts w:eastAsia="Times New Roman" w:cstheme="minorHAnsi"/>
        </w:rPr>
      </w:pPr>
      <w:r w:rsidRPr="00EB3CA7">
        <w:rPr>
          <w:rFonts w:eastAsia="Times New Roman" w:cstheme="minorHAnsi"/>
        </w:rPr>
        <w:t xml:space="preserve">3. To give a full explanation as to why the grade boundaries are determined after the exams have been taken and marked. </w:t>
      </w:r>
    </w:p>
    <w:p w14:paraId="26BBDE80" w14:textId="14E53F4B" w:rsidR="00271399" w:rsidRPr="005F3206" w:rsidRDefault="00271399" w:rsidP="00271399">
      <w:pPr>
        <w:ind w:firstLine="720"/>
        <w:rPr>
          <w:rFonts w:eastAsia="Times New Roman" w:cstheme="minorHAnsi"/>
        </w:rPr>
      </w:pPr>
      <w:r w:rsidRPr="00EB3CA7">
        <w:rPr>
          <w:rFonts w:eastAsia="Times New Roman" w:cstheme="minorHAnsi"/>
        </w:rPr>
        <w:lastRenderedPageBreak/>
        <w:t xml:space="preserve">4. To explain and justify why the grade boundaries are not set before an exam is taken using, for example, the </w:t>
      </w:r>
      <w:proofErr w:type="spellStart"/>
      <w:r w:rsidRPr="00EB3CA7">
        <w:rPr>
          <w:rFonts w:eastAsia="Times New Roman" w:cstheme="minorHAnsi"/>
        </w:rPr>
        <w:t>Angoff</w:t>
      </w:r>
      <w:proofErr w:type="spellEnd"/>
      <w:r w:rsidRPr="00EB3CA7">
        <w:rPr>
          <w:rFonts w:eastAsia="Times New Roman" w:cstheme="minorHAnsi"/>
        </w:rPr>
        <w:t xml:space="preserve"> process.</w:t>
      </w:r>
    </w:p>
    <w:p w14:paraId="1AFA49E9" w14:textId="286CFD35" w:rsidR="00935B84" w:rsidRPr="005F3206" w:rsidRDefault="00935B84">
      <w:pPr>
        <w:rPr>
          <w:rFonts w:cstheme="minorHAnsi"/>
        </w:rPr>
      </w:pPr>
      <w:r w:rsidRPr="005F3206">
        <w:rPr>
          <w:rFonts w:cstheme="minorHAnsi"/>
        </w:rPr>
        <w:br w:type="page"/>
      </w:r>
    </w:p>
    <w:p w14:paraId="52A7D502" w14:textId="589FB13B" w:rsidR="00271399" w:rsidRPr="005F3206" w:rsidRDefault="00271399">
      <w:pPr>
        <w:rPr>
          <w:rFonts w:cstheme="minorHAnsi"/>
          <w:b/>
          <w:bCs/>
        </w:rPr>
      </w:pPr>
      <w:r w:rsidRPr="005F3206">
        <w:rPr>
          <w:rFonts w:cstheme="minorHAnsi"/>
          <w:b/>
          <w:bCs/>
        </w:rPr>
        <w:lastRenderedPageBreak/>
        <w:t xml:space="preserve">Draft Response </w:t>
      </w:r>
      <w:r w:rsidR="00935B84" w:rsidRPr="005F3206">
        <w:rPr>
          <w:rFonts w:cstheme="minorHAnsi"/>
          <w:b/>
          <w:bCs/>
        </w:rPr>
        <w:t>v</w:t>
      </w:r>
      <w:r w:rsidR="00EB3CA7">
        <w:rPr>
          <w:rFonts w:cstheme="minorHAnsi"/>
          <w:b/>
          <w:bCs/>
        </w:rPr>
        <w:t>3</w:t>
      </w:r>
      <w:r w:rsidR="00935B84" w:rsidRPr="005F3206">
        <w:rPr>
          <w:rFonts w:cstheme="minorHAnsi"/>
          <w:b/>
          <w:bCs/>
        </w:rPr>
        <w:t xml:space="preserve"> </w:t>
      </w:r>
      <w:r w:rsidRPr="005F3206">
        <w:rPr>
          <w:rFonts w:cstheme="minorHAnsi"/>
          <w:b/>
          <w:bCs/>
        </w:rPr>
        <w:t>(</w:t>
      </w:r>
      <w:r w:rsidR="00935B84" w:rsidRPr="005F3206">
        <w:rPr>
          <w:rFonts w:cstheme="minorHAnsi"/>
          <w:b/>
          <w:bCs/>
        </w:rPr>
        <w:t>2</w:t>
      </w:r>
      <w:r w:rsidR="00EB3CA7">
        <w:rPr>
          <w:rFonts w:cstheme="minorHAnsi"/>
          <w:b/>
          <w:bCs/>
        </w:rPr>
        <w:t>5th</w:t>
      </w:r>
      <w:r w:rsidR="0BD91606" w:rsidRPr="005F3206">
        <w:rPr>
          <w:rFonts w:cstheme="minorHAnsi"/>
          <w:b/>
          <w:bCs/>
        </w:rPr>
        <w:t xml:space="preserve"> </w:t>
      </w:r>
      <w:r w:rsidRPr="005F3206">
        <w:rPr>
          <w:rFonts w:cstheme="minorHAnsi"/>
          <w:b/>
          <w:bCs/>
        </w:rPr>
        <w:t>June 2021)</w:t>
      </w:r>
    </w:p>
    <w:p w14:paraId="04CFC7CE" w14:textId="638771AE" w:rsidR="6533BAE4" w:rsidRPr="005F3206" w:rsidRDefault="6533BAE4" w:rsidP="40986C69">
      <w:pPr>
        <w:rPr>
          <w:rFonts w:cstheme="minorHAnsi"/>
        </w:rPr>
      </w:pPr>
      <w:r w:rsidRPr="005F3206">
        <w:rPr>
          <w:rFonts w:cstheme="minorHAnsi"/>
        </w:rPr>
        <w:t>‘</w:t>
      </w:r>
      <w:hyperlink r:id="rId7">
        <w:r w:rsidRPr="005F3206">
          <w:rPr>
            <w:rStyle w:val="Hyperlink"/>
            <w:rFonts w:cstheme="minorHAnsi"/>
          </w:rPr>
          <w:t>A Guide to Setting Grade Boundaries</w:t>
        </w:r>
      </w:hyperlink>
      <w:r w:rsidRPr="005F3206">
        <w:rPr>
          <w:rFonts w:cstheme="minorHAnsi"/>
        </w:rPr>
        <w:t>’ - Document referenced in FOI request</w:t>
      </w:r>
    </w:p>
    <w:p w14:paraId="77E820C3" w14:textId="37AD8E26" w:rsidR="322A0F7E" w:rsidRPr="005F3206" w:rsidRDefault="322A0F7E" w:rsidP="40986C69">
      <w:pPr>
        <w:rPr>
          <w:rFonts w:cstheme="minorHAnsi"/>
          <w:b/>
          <w:bCs/>
        </w:rPr>
      </w:pPr>
      <w:r w:rsidRPr="005F3206">
        <w:rPr>
          <w:rFonts w:cstheme="minorHAnsi"/>
          <w:b/>
          <w:bCs/>
        </w:rPr>
        <w:t xml:space="preserve">1) </w:t>
      </w:r>
      <w:r w:rsidR="00BA0385" w:rsidRPr="005F3206">
        <w:rPr>
          <w:rFonts w:cstheme="minorHAnsi"/>
          <w:b/>
          <w:bCs/>
        </w:rPr>
        <w:t>To provide a precise and full d</w:t>
      </w:r>
      <w:r w:rsidR="00271399" w:rsidRPr="005F3206">
        <w:rPr>
          <w:rFonts w:cstheme="minorHAnsi"/>
          <w:b/>
          <w:bCs/>
        </w:rPr>
        <w:t xml:space="preserve">escription of how </w:t>
      </w:r>
      <w:r w:rsidR="00BA0385" w:rsidRPr="005F3206">
        <w:rPr>
          <w:rFonts w:cstheme="minorHAnsi"/>
          <w:b/>
          <w:bCs/>
        </w:rPr>
        <w:t xml:space="preserve">the </w:t>
      </w:r>
      <w:r w:rsidR="00271399" w:rsidRPr="005F3206">
        <w:rPr>
          <w:rFonts w:cstheme="minorHAnsi"/>
          <w:b/>
          <w:bCs/>
        </w:rPr>
        <w:t xml:space="preserve">grade boundaries are </w:t>
      </w:r>
      <w:proofErr w:type="gramStart"/>
      <w:r w:rsidR="00BA0385" w:rsidRPr="005F3206">
        <w:rPr>
          <w:rFonts w:cstheme="minorHAnsi"/>
          <w:b/>
          <w:bCs/>
        </w:rPr>
        <w:t xml:space="preserve">actually </w:t>
      </w:r>
      <w:r w:rsidR="00271399" w:rsidRPr="005F3206">
        <w:rPr>
          <w:rFonts w:cstheme="minorHAnsi"/>
          <w:b/>
          <w:bCs/>
        </w:rPr>
        <w:t>determined</w:t>
      </w:r>
      <w:proofErr w:type="gramEnd"/>
      <w:r w:rsidR="00271399" w:rsidRPr="005F3206">
        <w:rPr>
          <w:rFonts w:cstheme="minorHAnsi"/>
          <w:b/>
          <w:bCs/>
        </w:rPr>
        <w:t xml:space="preserve"> </w:t>
      </w:r>
      <w:r w:rsidR="00AD4CC7" w:rsidRPr="005F3206">
        <w:rPr>
          <w:rFonts w:cstheme="minorHAnsi"/>
          <w:b/>
          <w:bCs/>
        </w:rPr>
        <w:t>from year to</w:t>
      </w:r>
      <w:r w:rsidR="00271399" w:rsidRPr="005F3206">
        <w:rPr>
          <w:rFonts w:cstheme="minorHAnsi"/>
          <w:b/>
          <w:bCs/>
        </w:rPr>
        <w:t xml:space="preserve"> year:</w:t>
      </w:r>
    </w:p>
    <w:p w14:paraId="1D382B5E" w14:textId="03DDE717" w:rsidR="00C519C3" w:rsidRPr="005F3206" w:rsidRDefault="00B3778F" w:rsidP="004F6F44">
      <w:pPr>
        <w:rPr>
          <w:rFonts w:cstheme="minorHAnsi"/>
        </w:rPr>
      </w:pPr>
      <w:r w:rsidRPr="005F3206">
        <w:rPr>
          <w:rFonts w:cstheme="minorHAnsi"/>
        </w:rPr>
        <w:t xml:space="preserve">Awarding </w:t>
      </w:r>
      <w:r w:rsidR="743E9017" w:rsidRPr="005F3206">
        <w:rPr>
          <w:rFonts w:cstheme="minorHAnsi"/>
        </w:rPr>
        <w:t>is the process by which the marks required to attain </w:t>
      </w:r>
      <w:proofErr w:type="gramStart"/>
      <w:r w:rsidR="743E9017" w:rsidRPr="005F3206">
        <w:rPr>
          <w:rFonts w:cstheme="minorHAnsi"/>
        </w:rPr>
        <w:t>particular grades</w:t>
      </w:r>
      <w:proofErr w:type="gramEnd"/>
      <w:r w:rsidR="743E9017" w:rsidRPr="005F3206">
        <w:rPr>
          <w:rFonts w:cstheme="minorHAnsi"/>
        </w:rPr>
        <w:t xml:space="preserve"> (grade boundaries) within a course are decided. It </w:t>
      </w:r>
      <w:r w:rsidRPr="005F3206">
        <w:rPr>
          <w:rFonts w:cstheme="minorHAnsi"/>
        </w:rPr>
        <w:t>is one of </w:t>
      </w:r>
      <w:r w:rsidR="002C3CDC" w:rsidRPr="005F3206">
        <w:rPr>
          <w:rFonts w:cstheme="minorHAnsi"/>
        </w:rPr>
        <w:t xml:space="preserve">a range of </w:t>
      </w:r>
      <w:r w:rsidRPr="005F3206">
        <w:rPr>
          <w:rFonts w:cstheme="minorHAnsi"/>
        </w:rPr>
        <w:t xml:space="preserve">quality assurance procedures that SQA has in place to ensure that candidates </w:t>
      </w:r>
      <w:r w:rsidR="00216487" w:rsidRPr="005F3206">
        <w:rPr>
          <w:rFonts w:cstheme="minorHAnsi"/>
        </w:rPr>
        <w:t xml:space="preserve">being assessed for </w:t>
      </w:r>
      <w:r w:rsidRPr="005F3206">
        <w:rPr>
          <w:rFonts w:cstheme="minorHAnsi"/>
        </w:rPr>
        <w:t>SQA qualifications are given the grade that they deserve.</w:t>
      </w:r>
      <w:r w:rsidR="09BEF79C" w:rsidRPr="005F3206">
        <w:rPr>
          <w:rFonts w:cstheme="minorHAnsi"/>
        </w:rPr>
        <w:t xml:space="preserve"> </w:t>
      </w:r>
    </w:p>
    <w:p w14:paraId="46EED023" w14:textId="073F9640" w:rsidR="00751F96" w:rsidRPr="005F3206" w:rsidRDefault="00393CD0" w:rsidP="00751F96">
      <w:pPr>
        <w:pStyle w:val="NormalWeb"/>
        <w:rPr>
          <w:rStyle w:val="cf01"/>
          <w:rFonts w:asciiTheme="minorHAnsi" w:hAnsiTheme="minorHAnsi" w:cstheme="minorHAnsi"/>
          <w:sz w:val="22"/>
          <w:szCs w:val="22"/>
        </w:rPr>
      </w:pPr>
      <w:r w:rsidRPr="005F3206">
        <w:rPr>
          <w:rStyle w:val="cf01"/>
          <w:rFonts w:asciiTheme="minorHAnsi" w:hAnsiTheme="minorHAnsi" w:cstheme="minorHAnsi"/>
          <w:sz w:val="22"/>
          <w:szCs w:val="22"/>
        </w:rPr>
        <w:t>There is no perfect or universally agreed way to set grade boundaries</w:t>
      </w:r>
      <w:r w:rsidR="00441211">
        <w:rPr>
          <w:rStyle w:val="cf01"/>
          <w:rFonts w:asciiTheme="minorHAnsi" w:hAnsiTheme="minorHAnsi" w:cstheme="minorHAnsi"/>
          <w:sz w:val="22"/>
          <w:szCs w:val="22"/>
        </w:rPr>
        <w:t xml:space="preserve"> for the purpose of maintaining standards over time. </w:t>
      </w:r>
      <w:r w:rsidRPr="005F3206">
        <w:rPr>
          <w:rStyle w:val="cf01"/>
          <w:rFonts w:asciiTheme="minorHAnsi" w:hAnsiTheme="minorHAnsi" w:cstheme="minorHAnsi"/>
          <w:sz w:val="22"/>
          <w:szCs w:val="22"/>
        </w:rPr>
        <w:t xml:space="preserve"> Practice </w:t>
      </w:r>
      <w:r w:rsidR="00E21426" w:rsidRPr="005F3206">
        <w:rPr>
          <w:rStyle w:val="cf01"/>
          <w:rFonts w:asciiTheme="minorHAnsi" w:hAnsiTheme="minorHAnsi" w:cstheme="minorHAnsi"/>
          <w:sz w:val="22"/>
          <w:szCs w:val="22"/>
        </w:rPr>
        <w:t xml:space="preserve">varies </w:t>
      </w:r>
      <w:r w:rsidRPr="005F3206">
        <w:rPr>
          <w:rStyle w:val="cf01"/>
          <w:rFonts w:asciiTheme="minorHAnsi" w:hAnsiTheme="minorHAnsi" w:cstheme="minorHAnsi"/>
          <w:sz w:val="22"/>
          <w:szCs w:val="22"/>
        </w:rPr>
        <w:t xml:space="preserve">across awarding bodies and other </w:t>
      </w:r>
      <w:r w:rsidR="003E30C5">
        <w:rPr>
          <w:rStyle w:val="cf01"/>
          <w:rFonts w:asciiTheme="minorHAnsi" w:hAnsiTheme="minorHAnsi" w:cstheme="minorHAnsi"/>
          <w:sz w:val="22"/>
          <w:szCs w:val="22"/>
        </w:rPr>
        <w:t xml:space="preserve">similar </w:t>
      </w:r>
      <w:r w:rsidRPr="005F3206">
        <w:rPr>
          <w:rStyle w:val="cf01"/>
          <w:rFonts w:asciiTheme="minorHAnsi" w:hAnsiTheme="minorHAnsi" w:cstheme="minorHAnsi"/>
          <w:sz w:val="22"/>
          <w:szCs w:val="22"/>
        </w:rPr>
        <w:t>institutions</w:t>
      </w:r>
      <w:r w:rsidR="00496ECA">
        <w:rPr>
          <w:rStyle w:val="cf01"/>
          <w:rFonts w:asciiTheme="minorHAnsi" w:hAnsiTheme="minorHAnsi" w:cstheme="minorHAnsi"/>
          <w:sz w:val="22"/>
          <w:szCs w:val="22"/>
        </w:rPr>
        <w:t xml:space="preserve"> around the world</w:t>
      </w:r>
      <w:r w:rsidR="00E21426" w:rsidRPr="005F3206">
        <w:rPr>
          <w:rStyle w:val="cf01"/>
          <w:rFonts w:asciiTheme="minorHAnsi" w:hAnsiTheme="minorHAnsi" w:cstheme="minorHAnsi"/>
          <w:sz w:val="22"/>
          <w:szCs w:val="22"/>
        </w:rPr>
        <w:t>. The strengths and weaknesses of different approaches continue</w:t>
      </w:r>
      <w:r w:rsidR="002C3CDC" w:rsidRPr="005F3206">
        <w:rPr>
          <w:rStyle w:val="cf01"/>
          <w:rFonts w:asciiTheme="minorHAnsi" w:hAnsiTheme="minorHAnsi" w:cstheme="minorHAnsi"/>
          <w:sz w:val="22"/>
          <w:szCs w:val="22"/>
        </w:rPr>
        <w:t xml:space="preserve"> to</w:t>
      </w:r>
      <w:r w:rsidR="00E21426" w:rsidRPr="005F3206">
        <w:rPr>
          <w:rStyle w:val="cf01"/>
          <w:rFonts w:asciiTheme="minorHAnsi" w:hAnsiTheme="minorHAnsi" w:cstheme="minorHAnsi"/>
          <w:sz w:val="22"/>
          <w:szCs w:val="22"/>
        </w:rPr>
        <w:t xml:space="preserve"> be </w:t>
      </w:r>
      <w:r w:rsidR="00496ECA">
        <w:rPr>
          <w:rStyle w:val="cf01"/>
          <w:rFonts w:asciiTheme="minorHAnsi" w:hAnsiTheme="minorHAnsi" w:cstheme="minorHAnsi"/>
          <w:sz w:val="22"/>
          <w:szCs w:val="22"/>
        </w:rPr>
        <w:t xml:space="preserve">documented and </w:t>
      </w:r>
      <w:r w:rsidR="00E21426" w:rsidRPr="005F3206">
        <w:rPr>
          <w:rStyle w:val="cf01"/>
          <w:rFonts w:asciiTheme="minorHAnsi" w:hAnsiTheme="minorHAnsi" w:cstheme="minorHAnsi"/>
          <w:sz w:val="22"/>
          <w:szCs w:val="22"/>
        </w:rPr>
        <w:t>debated in the academic literature</w:t>
      </w:r>
      <w:r w:rsidR="00496ECA">
        <w:rPr>
          <w:rStyle w:val="cf01"/>
          <w:rFonts w:asciiTheme="minorHAnsi" w:hAnsiTheme="minorHAnsi" w:cstheme="minorHAnsi"/>
          <w:sz w:val="22"/>
          <w:szCs w:val="22"/>
        </w:rPr>
        <w:t xml:space="preserve"> (</w:t>
      </w:r>
      <w:proofErr w:type="spellStart"/>
      <w:r w:rsidR="00496ECA">
        <w:rPr>
          <w:rStyle w:val="cf01"/>
          <w:rFonts w:asciiTheme="minorHAnsi" w:hAnsiTheme="minorHAnsi" w:cstheme="minorHAnsi"/>
          <w:sz w:val="22"/>
          <w:szCs w:val="22"/>
        </w:rPr>
        <w:t>eg</w:t>
      </w:r>
      <w:proofErr w:type="spellEnd"/>
      <w:r w:rsidR="00496ECA">
        <w:rPr>
          <w:rStyle w:val="cf01"/>
          <w:rFonts w:asciiTheme="minorHAnsi" w:hAnsiTheme="minorHAnsi" w:cstheme="minorHAnsi"/>
          <w:sz w:val="22"/>
          <w:szCs w:val="22"/>
        </w:rPr>
        <w:t xml:space="preserve"> </w:t>
      </w:r>
      <w:proofErr w:type="spellStart"/>
      <w:r w:rsidR="00496ECA">
        <w:rPr>
          <w:rStyle w:val="cf01"/>
          <w:rFonts w:asciiTheme="minorHAnsi" w:hAnsiTheme="minorHAnsi" w:cstheme="minorHAnsi"/>
          <w:sz w:val="22"/>
          <w:szCs w:val="22"/>
        </w:rPr>
        <w:t>Cizek</w:t>
      </w:r>
      <w:proofErr w:type="spellEnd"/>
      <w:r w:rsidR="00496ECA">
        <w:rPr>
          <w:rStyle w:val="cf01"/>
          <w:rFonts w:asciiTheme="minorHAnsi" w:hAnsiTheme="minorHAnsi" w:cstheme="minorHAnsi"/>
          <w:sz w:val="22"/>
          <w:szCs w:val="22"/>
        </w:rPr>
        <w:t xml:space="preserve"> 2007, 2012; Eds Baird, Isaacs, </w:t>
      </w:r>
      <w:proofErr w:type="spellStart"/>
      <w:r w:rsidR="00496ECA">
        <w:rPr>
          <w:rStyle w:val="cf01"/>
          <w:rFonts w:asciiTheme="minorHAnsi" w:hAnsiTheme="minorHAnsi" w:cstheme="minorHAnsi"/>
          <w:sz w:val="22"/>
          <w:szCs w:val="22"/>
        </w:rPr>
        <w:t>Opposs</w:t>
      </w:r>
      <w:proofErr w:type="spellEnd"/>
      <w:r w:rsidR="00496ECA">
        <w:rPr>
          <w:rStyle w:val="cf01"/>
          <w:rFonts w:asciiTheme="minorHAnsi" w:hAnsiTheme="minorHAnsi" w:cstheme="minorHAnsi"/>
          <w:sz w:val="22"/>
          <w:szCs w:val="22"/>
        </w:rPr>
        <w:t xml:space="preserve"> and Gray 2018</w:t>
      </w:r>
      <w:proofErr w:type="gramStart"/>
      <w:r w:rsidR="00496ECA">
        <w:rPr>
          <w:rStyle w:val="cf01"/>
          <w:rFonts w:asciiTheme="minorHAnsi" w:hAnsiTheme="minorHAnsi" w:cstheme="minorHAnsi"/>
          <w:sz w:val="22"/>
          <w:szCs w:val="22"/>
        </w:rPr>
        <w:t xml:space="preserve">) </w:t>
      </w:r>
      <w:r w:rsidR="002C3CDC" w:rsidRPr="005F3206">
        <w:rPr>
          <w:rStyle w:val="cf01"/>
          <w:rFonts w:asciiTheme="minorHAnsi" w:hAnsiTheme="minorHAnsi" w:cstheme="minorHAnsi"/>
          <w:sz w:val="22"/>
          <w:szCs w:val="22"/>
        </w:rPr>
        <w:t>.</w:t>
      </w:r>
      <w:proofErr w:type="gramEnd"/>
      <w:r w:rsidR="00216487" w:rsidRPr="005F3206">
        <w:rPr>
          <w:rStyle w:val="cf01"/>
          <w:rFonts w:asciiTheme="minorHAnsi" w:hAnsiTheme="minorHAnsi" w:cstheme="minorHAnsi"/>
          <w:sz w:val="22"/>
          <w:szCs w:val="22"/>
        </w:rPr>
        <w:t xml:space="preserve"> A</w:t>
      </w:r>
      <w:r w:rsidR="003E30C5">
        <w:rPr>
          <w:rStyle w:val="cf01"/>
          <w:rFonts w:asciiTheme="minorHAnsi" w:hAnsiTheme="minorHAnsi" w:cstheme="minorHAnsi"/>
          <w:sz w:val="22"/>
          <w:szCs w:val="22"/>
        </w:rPr>
        <w:t>s</w:t>
      </w:r>
      <w:r w:rsidR="00216487" w:rsidRPr="005F3206">
        <w:rPr>
          <w:rStyle w:val="cf01"/>
          <w:rFonts w:asciiTheme="minorHAnsi" w:hAnsiTheme="minorHAnsi" w:cstheme="minorHAnsi"/>
          <w:sz w:val="22"/>
          <w:szCs w:val="22"/>
        </w:rPr>
        <w:t xml:space="preserve"> with other organi</w:t>
      </w:r>
      <w:r w:rsidR="00B30ACC" w:rsidRPr="005F3206">
        <w:rPr>
          <w:rStyle w:val="cf01"/>
          <w:rFonts w:asciiTheme="minorHAnsi" w:hAnsiTheme="minorHAnsi" w:cstheme="minorHAnsi"/>
          <w:sz w:val="22"/>
          <w:szCs w:val="22"/>
        </w:rPr>
        <w:t>s</w:t>
      </w:r>
      <w:r w:rsidR="00216487" w:rsidRPr="005F3206">
        <w:rPr>
          <w:rStyle w:val="cf01"/>
          <w:rFonts w:asciiTheme="minorHAnsi" w:hAnsiTheme="minorHAnsi" w:cstheme="minorHAnsi"/>
          <w:sz w:val="22"/>
          <w:szCs w:val="22"/>
        </w:rPr>
        <w:t>ations</w:t>
      </w:r>
      <w:r w:rsidR="003E30C5">
        <w:rPr>
          <w:rStyle w:val="cf01"/>
          <w:rFonts w:asciiTheme="minorHAnsi" w:hAnsiTheme="minorHAnsi" w:cstheme="minorHAnsi"/>
          <w:sz w:val="22"/>
          <w:szCs w:val="22"/>
        </w:rPr>
        <w:t>,</w:t>
      </w:r>
      <w:r w:rsidR="00216487" w:rsidRPr="005F3206">
        <w:rPr>
          <w:rStyle w:val="cf01"/>
          <w:rFonts w:asciiTheme="minorHAnsi" w:hAnsiTheme="minorHAnsi" w:cstheme="minorHAnsi"/>
          <w:sz w:val="22"/>
          <w:szCs w:val="22"/>
        </w:rPr>
        <w:t xml:space="preserve"> the approach adopted by SQA ha</w:t>
      </w:r>
      <w:r w:rsidR="00B30ACC" w:rsidRPr="005F3206">
        <w:rPr>
          <w:rStyle w:val="cf01"/>
          <w:rFonts w:asciiTheme="minorHAnsi" w:hAnsiTheme="minorHAnsi" w:cstheme="minorHAnsi"/>
          <w:sz w:val="22"/>
          <w:szCs w:val="22"/>
        </w:rPr>
        <w:t>s</w:t>
      </w:r>
      <w:r w:rsidR="00216487" w:rsidRPr="005F3206">
        <w:rPr>
          <w:rStyle w:val="cf01"/>
          <w:rFonts w:asciiTheme="minorHAnsi" w:hAnsiTheme="minorHAnsi" w:cstheme="minorHAnsi"/>
          <w:sz w:val="22"/>
          <w:szCs w:val="22"/>
        </w:rPr>
        <w:t xml:space="preserve"> evolved over time and will continue </w:t>
      </w:r>
      <w:r w:rsidR="00B30ACC" w:rsidRPr="005F3206">
        <w:rPr>
          <w:rStyle w:val="cf01"/>
          <w:rFonts w:asciiTheme="minorHAnsi" w:hAnsiTheme="minorHAnsi" w:cstheme="minorHAnsi"/>
          <w:sz w:val="22"/>
          <w:szCs w:val="22"/>
        </w:rPr>
        <w:t xml:space="preserve">to </w:t>
      </w:r>
      <w:r w:rsidR="00216487" w:rsidRPr="005F3206">
        <w:rPr>
          <w:rStyle w:val="cf01"/>
          <w:rFonts w:asciiTheme="minorHAnsi" w:hAnsiTheme="minorHAnsi" w:cstheme="minorHAnsi"/>
          <w:sz w:val="22"/>
          <w:szCs w:val="22"/>
        </w:rPr>
        <w:t>do so</w:t>
      </w:r>
      <w:r w:rsidR="00B30ACC" w:rsidRPr="005F3206">
        <w:rPr>
          <w:rStyle w:val="cf01"/>
          <w:rFonts w:asciiTheme="minorHAnsi" w:hAnsiTheme="minorHAnsi" w:cstheme="minorHAnsi"/>
          <w:sz w:val="22"/>
          <w:szCs w:val="22"/>
        </w:rPr>
        <w:t xml:space="preserve"> in response to our experience of its use and our</w:t>
      </w:r>
      <w:r w:rsidR="00751F96" w:rsidRPr="005F3206">
        <w:rPr>
          <w:rStyle w:val="cf01"/>
          <w:rFonts w:asciiTheme="minorHAnsi" w:hAnsiTheme="minorHAnsi" w:cstheme="minorHAnsi"/>
          <w:sz w:val="22"/>
          <w:szCs w:val="22"/>
        </w:rPr>
        <w:t xml:space="preserve"> review and evaluation of the suitability of alternative approaches</w:t>
      </w:r>
      <w:r w:rsidR="00B30ACC" w:rsidRPr="005F3206">
        <w:rPr>
          <w:rStyle w:val="cf01"/>
          <w:rFonts w:asciiTheme="minorHAnsi" w:hAnsiTheme="minorHAnsi" w:cstheme="minorHAnsi"/>
          <w:sz w:val="22"/>
          <w:szCs w:val="22"/>
        </w:rPr>
        <w:t xml:space="preserve">. </w:t>
      </w:r>
    </w:p>
    <w:p w14:paraId="5B9D25F8" w14:textId="4397103F" w:rsidR="003646FC" w:rsidRPr="005F3206" w:rsidRDefault="09BEF79C" w:rsidP="00751F96">
      <w:pPr>
        <w:pStyle w:val="NormalWeb"/>
        <w:rPr>
          <w:rFonts w:asciiTheme="minorHAnsi" w:hAnsiTheme="minorHAnsi" w:cstheme="minorHAnsi"/>
          <w:sz w:val="22"/>
          <w:szCs w:val="22"/>
        </w:rPr>
      </w:pPr>
      <w:r w:rsidRPr="005F3206">
        <w:rPr>
          <w:rFonts w:asciiTheme="minorHAnsi" w:hAnsiTheme="minorHAnsi" w:cstheme="minorHAnsi"/>
          <w:sz w:val="22"/>
          <w:szCs w:val="22"/>
        </w:rPr>
        <w:t xml:space="preserve">Every SQA course assessment is set to recognise levels of attainment of skills, knowledge, and understanding as outlined in each course specification. </w:t>
      </w:r>
      <w:r w:rsidR="00AB7569" w:rsidRPr="005F3206">
        <w:rPr>
          <w:rFonts w:asciiTheme="minorHAnsi" w:hAnsiTheme="minorHAnsi" w:cstheme="minorHAnsi"/>
          <w:sz w:val="22"/>
          <w:szCs w:val="22"/>
        </w:rPr>
        <w:t>For Graded National Courses</w:t>
      </w:r>
      <w:r w:rsidR="00B267EF" w:rsidRPr="005F3206">
        <w:rPr>
          <w:rFonts w:asciiTheme="minorHAnsi" w:hAnsiTheme="minorHAnsi" w:cstheme="minorHAnsi"/>
          <w:sz w:val="22"/>
          <w:szCs w:val="22"/>
        </w:rPr>
        <w:t xml:space="preserve"> at National 5</w:t>
      </w:r>
      <w:r w:rsidR="00AB7569" w:rsidRPr="005F3206">
        <w:rPr>
          <w:rFonts w:asciiTheme="minorHAnsi" w:hAnsiTheme="minorHAnsi" w:cstheme="minorHAnsi"/>
          <w:sz w:val="22"/>
          <w:szCs w:val="22"/>
        </w:rPr>
        <w:t>,</w:t>
      </w:r>
      <w:r w:rsidR="00B267EF" w:rsidRPr="005F3206">
        <w:rPr>
          <w:rFonts w:asciiTheme="minorHAnsi" w:hAnsiTheme="minorHAnsi" w:cstheme="minorHAnsi"/>
          <w:sz w:val="22"/>
          <w:szCs w:val="22"/>
        </w:rPr>
        <w:t xml:space="preserve"> Higher and Advanced Higher</w:t>
      </w:r>
      <w:r w:rsidR="00AB7569" w:rsidRPr="005F3206">
        <w:rPr>
          <w:rFonts w:asciiTheme="minorHAnsi" w:hAnsiTheme="minorHAnsi" w:cstheme="minorHAnsi"/>
          <w:sz w:val="22"/>
          <w:szCs w:val="22"/>
        </w:rPr>
        <w:t xml:space="preserve"> m</w:t>
      </w:r>
      <w:r w:rsidRPr="005F3206">
        <w:rPr>
          <w:rFonts w:asciiTheme="minorHAnsi" w:hAnsiTheme="minorHAnsi" w:cstheme="minorHAnsi"/>
          <w:sz w:val="22"/>
          <w:szCs w:val="22"/>
        </w:rPr>
        <w:t xml:space="preserve">ost </w:t>
      </w:r>
      <w:r w:rsidRPr="005F3206">
        <w:rPr>
          <w:rStyle w:val="normaltextrun"/>
          <w:rFonts w:asciiTheme="minorHAnsi" w:hAnsiTheme="minorHAnsi" w:cstheme="minorHAnsi"/>
          <w:color w:val="000000" w:themeColor="text1"/>
          <w:sz w:val="22"/>
          <w:szCs w:val="22"/>
        </w:rPr>
        <w:t xml:space="preserve">course assessments contain a question paper and coursework component </w:t>
      </w:r>
      <w:r w:rsidR="00F92105">
        <w:rPr>
          <w:rStyle w:val="normaltextrun"/>
          <w:rFonts w:asciiTheme="minorHAnsi" w:hAnsiTheme="minorHAnsi" w:cstheme="minorHAnsi"/>
          <w:color w:val="000000" w:themeColor="text1"/>
          <w:sz w:val="22"/>
          <w:szCs w:val="22"/>
        </w:rPr>
        <w:t xml:space="preserve">both of </w:t>
      </w:r>
      <w:r w:rsidRPr="005F3206">
        <w:rPr>
          <w:rStyle w:val="normaltextrun"/>
          <w:rFonts w:asciiTheme="minorHAnsi" w:hAnsiTheme="minorHAnsi" w:cstheme="minorHAnsi"/>
          <w:color w:val="000000" w:themeColor="text1"/>
          <w:sz w:val="22"/>
          <w:szCs w:val="22"/>
        </w:rPr>
        <w:t>which</w:t>
      </w:r>
      <w:r w:rsidR="00F92105">
        <w:rPr>
          <w:rStyle w:val="normaltextrun"/>
          <w:rFonts w:asciiTheme="minorHAnsi" w:hAnsiTheme="minorHAnsi" w:cstheme="minorHAnsi"/>
          <w:color w:val="000000" w:themeColor="text1"/>
          <w:sz w:val="22"/>
          <w:szCs w:val="22"/>
        </w:rPr>
        <w:t xml:space="preserve"> are </w:t>
      </w:r>
      <w:r w:rsidRPr="005F3206">
        <w:rPr>
          <w:rStyle w:val="normaltextrun"/>
          <w:rFonts w:asciiTheme="minorHAnsi" w:hAnsiTheme="minorHAnsi" w:cstheme="minorHAnsi"/>
          <w:color w:val="000000" w:themeColor="text1"/>
          <w:sz w:val="22"/>
          <w:szCs w:val="22"/>
        </w:rPr>
        <w:t xml:space="preserve">marked by SQA. </w:t>
      </w:r>
      <w:r w:rsidR="003646FC" w:rsidRPr="005F3206">
        <w:rPr>
          <w:rFonts w:asciiTheme="minorHAnsi" w:hAnsiTheme="minorHAnsi" w:cstheme="minorHAnsi"/>
          <w:sz w:val="22"/>
          <w:szCs w:val="22"/>
        </w:rPr>
        <w:t>The final g</w:t>
      </w:r>
      <w:r w:rsidRPr="005F3206">
        <w:rPr>
          <w:rFonts w:asciiTheme="minorHAnsi" w:hAnsiTheme="minorHAnsi" w:cstheme="minorHAnsi"/>
          <w:sz w:val="22"/>
          <w:szCs w:val="22"/>
        </w:rPr>
        <w:t>rade</w:t>
      </w:r>
      <w:r w:rsidR="003646FC" w:rsidRPr="005F3206">
        <w:rPr>
          <w:rFonts w:asciiTheme="minorHAnsi" w:hAnsiTheme="minorHAnsi" w:cstheme="minorHAnsi"/>
          <w:sz w:val="22"/>
          <w:szCs w:val="22"/>
        </w:rPr>
        <w:t xml:space="preserve"> awarded is </w:t>
      </w:r>
      <w:r w:rsidRPr="005F3206">
        <w:rPr>
          <w:rFonts w:asciiTheme="minorHAnsi" w:hAnsiTheme="minorHAnsi" w:cstheme="minorHAnsi"/>
          <w:sz w:val="22"/>
          <w:szCs w:val="22"/>
        </w:rPr>
        <w:t>based on the total score for all components of a course assessment</w:t>
      </w:r>
      <w:r w:rsidR="6B774E10" w:rsidRPr="005F3206">
        <w:rPr>
          <w:rFonts w:asciiTheme="minorHAnsi" w:hAnsiTheme="minorHAnsi" w:cstheme="minorHAnsi"/>
          <w:sz w:val="22"/>
          <w:szCs w:val="22"/>
        </w:rPr>
        <w:t xml:space="preserve">. </w:t>
      </w:r>
    </w:p>
    <w:p w14:paraId="18C46A79" w14:textId="7B06B7F1" w:rsidR="009313C1" w:rsidRPr="00475471" w:rsidRDefault="00761A46" w:rsidP="009313C1">
      <w:pPr>
        <w:pStyle w:val="NormalWeb"/>
        <w:rPr>
          <w:rFonts w:asciiTheme="minorHAnsi" w:hAnsiTheme="minorHAnsi" w:cstheme="minorHAnsi"/>
          <w:sz w:val="22"/>
          <w:szCs w:val="22"/>
        </w:rPr>
      </w:pPr>
      <w:r w:rsidRPr="005F3206">
        <w:rPr>
          <w:rStyle w:val="cf01"/>
          <w:rFonts w:asciiTheme="minorHAnsi" w:hAnsiTheme="minorHAnsi" w:cstheme="minorHAnsi"/>
          <w:sz w:val="22"/>
          <w:szCs w:val="22"/>
        </w:rPr>
        <w:t>The demand of the assessment is set before it is taken by candidates</w:t>
      </w:r>
      <w:r w:rsidR="003646FC" w:rsidRPr="005F3206">
        <w:rPr>
          <w:rStyle w:val="cf01"/>
          <w:rFonts w:asciiTheme="minorHAnsi" w:hAnsiTheme="minorHAnsi" w:cstheme="minorHAnsi"/>
          <w:sz w:val="22"/>
          <w:szCs w:val="22"/>
        </w:rPr>
        <w:t>, in line with the sampling strategy for the course with the appropriate levels of differentiation</w:t>
      </w:r>
      <w:r w:rsidR="00441211">
        <w:rPr>
          <w:rStyle w:val="cf01"/>
          <w:rFonts w:asciiTheme="minorHAnsi" w:hAnsiTheme="minorHAnsi" w:cstheme="minorHAnsi"/>
          <w:sz w:val="22"/>
          <w:szCs w:val="22"/>
        </w:rPr>
        <w:t xml:space="preserve"> between A and C grades</w:t>
      </w:r>
      <w:r w:rsidR="003646FC" w:rsidRPr="005F3206">
        <w:rPr>
          <w:rStyle w:val="cf01"/>
          <w:rFonts w:asciiTheme="minorHAnsi" w:hAnsiTheme="minorHAnsi" w:cstheme="minorHAnsi"/>
          <w:sz w:val="22"/>
          <w:szCs w:val="22"/>
        </w:rPr>
        <w:t xml:space="preserve">. </w:t>
      </w:r>
      <w:r w:rsidR="009313C1" w:rsidRPr="00475471">
        <w:rPr>
          <w:rFonts w:asciiTheme="minorHAnsi" w:hAnsiTheme="minorHAnsi" w:cstheme="minorHAnsi"/>
          <w:sz w:val="22"/>
          <w:szCs w:val="22"/>
        </w:rPr>
        <w:t xml:space="preserve">Notional grade boundaries are used </w:t>
      </w:r>
      <w:r w:rsidR="009313C1" w:rsidRPr="00475471">
        <w:rPr>
          <w:rStyle w:val="cf01"/>
          <w:rFonts w:asciiTheme="minorHAnsi" w:hAnsiTheme="minorHAnsi" w:cstheme="minorHAnsi"/>
          <w:sz w:val="22"/>
          <w:szCs w:val="22"/>
        </w:rPr>
        <w:t xml:space="preserve">as a guide to question paper setters as a ‘target’ to try to ensure as much </w:t>
      </w:r>
      <w:r w:rsidR="00441211">
        <w:rPr>
          <w:rStyle w:val="cf01"/>
          <w:rFonts w:asciiTheme="minorHAnsi" w:hAnsiTheme="minorHAnsi" w:cstheme="minorHAnsi"/>
          <w:sz w:val="22"/>
          <w:szCs w:val="22"/>
        </w:rPr>
        <w:t>fairness</w:t>
      </w:r>
      <w:r w:rsidR="009313C1" w:rsidRPr="00475471">
        <w:rPr>
          <w:rStyle w:val="cf01"/>
          <w:rFonts w:asciiTheme="minorHAnsi" w:hAnsiTheme="minorHAnsi" w:cstheme="minorHAnsi"/>
          <w:sz w:val="22"/>
          <w:szCs w:val="22"/>
        </w:rPr>
        <w:t xml:space="preserve"> of experience for learners taking qualifications between cohorts in different years.</w:t>
      </w:r>
    </w:p>
    <w:p w14:paraId="0B9A5037" w14:textId="51436694" w:rsidR="003646FC" w:rsidRPr="005F3206" w:rsidRDefault="00494893" w:rsidP="003646FC">
      <w:pPr>
        <w:pStyle w:val="pf0"/>
        <w:rPr>
          <w:rFonts w:asciiTheme="minorHAnsi" w:hAnsiTheme="minorHAnsi" w:cstheme="minorHAnsi"/>
          <w:sz w:val="22"/>
          <w:szCs w:val="22"/>
        </w:rPr>
      </w:pPr>
      <w:r w:rsidRPr="005F3206">
        <w:rPr>
          <w:rStyle w:val="cf01"/>
          <w:rFonts w:asciiTheme="minorHAnsi" w:hAnsiTheme="minorHAnsi" w:cstheme="minorHAnsi"/>
          <w:sz w:val="22"/>
          <w:szCs w:val="22"/>
        </w:rPr>
        <w:t xml:space="preserve">As SQA does not pre-test </w:t>
      </w:r>
      <w:r w:rsidR="00D254AE" w:rsidRPr="005F3206">
        <w:rPr>
          <w:rStyle w:val="cf01"/>
          <w:rFonts w:asciiTheme="minorHAnsi" w:hAnsiTheme="minorHAnsi" w:cstheme="minorHAnsi"/>
          <w:sz w:val="22"/>
          <w:szCs w:val="22"/>
        </w:rPr>
        <w:t xml:space="preserve">items used in the assessment of its Graded National Courses we have no </w:t>
      </w:r>
      <w:r w:rsidR="00AD23F3" w:rsidRPr="005F3206">
        <w:rPr>
          <w:rStyle w:val="cf01"/>
          <w:rFonts w:asciiTheme="minorHAnsi" w:hAnsiTheme="minorHAnsi" w:cstheme="minorHAnsi"/>
          <w:sz w:val="22"/>
          <w:szCs w:val="22"/>
        </w:rPr>
        <w:t xml:space="preserve">statistical </w:t>
      </w:r>
      <w:r w:rsidR="00D254AE" w:rsidRPr="005F3206">
        <w:rPr>
          <w:rStyle w:val="cf01"/>
          <w:rFonts w:asciiTheme="minorHAnsi" w:hAnsiTheme="minorHAnsi" w:cstheme="minorHAnsi"/>
          <w:sz w:val="22"/>
          <w:szCs w:val="22"/>
        </w:rPr>
        <w:t xml:space="preserve">information on the </w:t>
      </w:r>
      <w:r w:rsidR="00AD23F3" w:rsidRPr="005F3206">
        <w:rPr>
          <w:rStyle w:val="cf01"/>
          <w:rFonts w:asciiTheme="minorHAnsi" w:hAnsiTheme="minorHAnsi" w:cstheme="minorHAnsi"/>
          <w:sz w:val="22"/>
          <w:szCs w:val="22"/>
        </w:rPr>
        <w:t>level of difficulty of the items</w:t>
      </w:r>
      <w:r w:rsidR="00DD1A2A">
        <w:rPr>
          <w:rStyle w:val="cf01"/>
          <w:rFonts w:asciiTheme="minorHAnsi" w:hAnsiTheme="minorHAnsi" w:cstheme="minorHAnsi"/>
          <w:sz w:val="22"/>
          <w:szCs w:val="22"/>
        </w:rPr>
        <w:t xml:space="preserve"> that comprise the course assessments</w:t>
      </w:r>
      <w:r w:rsidR="00AD23F3" w:rsidRPr="005F3206">
        <w:rPr>
          <w:rStyle w:val="cf01"/>
          <w:rFonts w:asciiTheme="minorHAnsi" w:hAnsiTheme="minorHAnsi" w:cstheme="minorHAnsi"/>
          <w:sz w:val="22"/>
          <w:szCs w:val="22"/>
        </w:rPr>
        <w:t xml:space="preserve">. </w:t>
      </w:r>
      <w:r w:rsidR="003646FC" w:rsidRPr="005F3206">
        <w:rPr>
          <w:rStyle w:val="cf01"/>
          <w:rFonts w:asciiTheme="minorHAnsi" w:hAnsiTheme="minorHAnsi" w:cstheme="minorHAnsi"/>
          <w:sz w:val="22"/>
          <w:szCs w:val="22"/>
        </w:rPr>
        <w:t xml:space="preserve">There is no </w:t>
      </w:r>
      <w:r w:rsidR="00496ECA">
        <w:rPr>
          <w:rStyle w:val="cf01"/>
          <w:rFonts w:asciiTheme="minorHAnsi" w:hAnsiTheme="minorHAnsi" w:cstheme="minorHAnsi"/>
          <w:sz w:val="22"/>
          <w:szCs w:val="22"/>
        </w:rPr>
        <w:t xml:space="preserve">single </w:t>
      </w:r>
      <w:r w:rsidR="003646FC" w:rsidRPr="005F3206">
        <w:rPr>
          <w:rStyle w:val="cf01"/>
          <w:rFonts w:asciiTheme="minorHAnsi" w:hAnsiTheme="minorHAnsi" w:cstheme="minorHAnsi"/>
          <w:sz w:val="22"/>
          <w:szCs w:val="22"/>
        </w:rPr>
        <w:t>statistical indicator of demands and no objective scales for assessing them</w:t>
      </w:r>
      <w:r w:rsidR="00EE79C8" w:rsidRPr="005F3206">
        <w:rPr>
          <w:rStyle w:val="cf01"/>
          <w:rFonts w:asciiTheme="minorHAnsi" w:hAnsiTheme="minorHAnsi" w:cstheme="minorHAnsi"/>
          <w:sz w:val="22"/>
          <w:szCs w:val="22"/>
        </w:rPr>
        <w:t>. D</w:t>
      </w:r>
      <w:r w:rsidR="003646FC" w:rsidRPr="005F3206">
        <w:rPr>
          <w:rStyle w:val="cf01"/>
          <w:rFonts w:asciiTheme="minorHAnsi" w:hAnsiTheme="minorHAnsi" w:cstheme="minorHAnsi"/>
          <w:sz w:val="22"/>
          <w:szCs w:val="22"/>
        </w:rPr>
        <w:t xml:space="preserve">emands are only comparable through expert </w:t>
      </w:r>
      <w:proofErr w:type="gramStart"/>
      <w:r w:rsidR="003646FC" w:rsidRPr="005F3206">
        <w:rPr>
          <w:rStyle w:val="cf01"/>
          <w:rFonts w:asciiTheme="minorHAnsi" w:hAnsiTheme="minorHAnsi" w:cstheme="minorHAnsi"/>
          <w:sz w:val="22"/>
          <w:szCs w:val="22"/>
        </w:rPr>
        <w:t>judg</w:t>
      </w:r>
      <w:r w:rsidR="00EE79C8" w:rsidRPr="005F3206">
        <w:rPr>
          <w:rStyle w:val="cf01"/>
          <w:rFonts w:asciiTheme="minorHAnsi" w:hAnsiTheme="minorHAnsi" w:cstheme="minorHAnsi"/>
          <w:sz w:val="22"/>
          <w:szCs w:val="22"/>
        </w:rPr>
        <w:t>e</w:t>
      </w:r>
      <w:r w:rsidR="003646FC" w:rsidRPr="005F3206">
        <w:rPr>
          <w:rStyle w:val="cf01"/>
          <w:rFonts w:asciiTheme="minorHAnsi" w:hAnsiTheme="minorHAnsi" w:cstheme="minorHAnsi"/>
          <w:sz w:val="22"/>
          <w:szCs w:val="22"/>
        </w:rPr>
        <w:t>ment</w:t>
      </w:r>
      <w:proofErr w:type="gramEnd"/>
      <w:r w:rsidR="003646FC" w:rsidRPr="005F3206">
        <w:rPr>
          <w:rStyle w:val="cf01"/>
          <w:rFonts w:asciiTheme="minorHAnsi" w:hAnsiTheme="minorHAnsi" w:cstheme="minorHAnsi"/>
          <w:sz w:val="22"/>
          <w:szCs w:val="22"/>
        </w:rPr>
        <w:t xml:space="preserve"> so the examinations are set in line with levels of demand within the course</w:t>
      </w:r>
      <w:r w:rsidR="00D66721">
        <w:rPr>
          <w:rStyle w:val="cf01"/>
          <w:rFonts w:asciiTheme="minorHAnsi" w:hAnsiTheme="minorHAnsi" w:cstheme="minorHAnsi"/>
          <w:sz w:val="22"/>
          <w:szCs w:val="22"/>
        </w:rPr>
        <w:t xml:space="preserve"> </w:t>
      </w:r>
      <w:r w:rsidR="00441211">
        <w:rPr>
          <w:rStyle w:val="cf01"/>
          <w:rFonts w:asciiTheme="minorHAnsi" w:hAnsiTheme="minorHAnsi" w:cstheme="minorHAnsi"/>
          <w:sz w:val="22"/>
          <w:szCs w:val="22"/>
        </w:rPr>
        <w:t>using expert judgement.</w:t>
      </w:r>
      <w:r w:rsidR="003646FC" w:rsidRPr="005F3206">
        <w:rPr>
          <w:rStyle w:val="cf01"/>
          <w:rFonts w:asciiTheme="minorHAnsi" w:hAnsiTheme="minorHAnsi" w:cstheme="minorHAnsi"/>
          <w:sz w:val="22"/>
          <w:szCs w:val="22"/>
        </w:rPr>
        <w:t xml:space="preserve"> </w:t>
      </w:r>
    </w:p>
    <w:p w14:paraId="5736C988" w14:textId="31FD3C8B" w:rsidR="00C519C3" w:rsidRPr="005F3206" w:rsidRDefault="6B774E10" w:rsidP="00751F96">
      <w:pPr>
        <w:pStyle w:val="NormalWeb"/>
        <w:rPr>
          <w:rFonts w:asciiTheme="minorHAnsi" w:hAnsiTheme="minorHAnsi" w:cstheme="minorHAnsi"/>
          <w:sz w:val="22"/>
          <w:szCs w:val="22"/>
        </w:rPr>
      </w:pPr>
      <w:r w:rsidRPr="005F3206">
        <w:rPr>
          <w:rFonts w:asciiTheme="minorHAnsi" w:hAnsiTheme="minorHAnsi" w:cstheme="minorHAnsi"/>
          <w:sz w:val="22"/>
          <w:szCs w:val="22"/>
        </w:rPr>
        <w:t>G</w:t>
      </w:r>
      <w:r w:rsidR="09BEF79C" w:rsidRPr="005F3206">
        <w:rPr>
          <w:rFonts w:asciiTheme="minorHAnsi" w:hAnsiTheme="minorHAnsi" w:cstheme="minorHAnsi"/>
          <w:sz w:val="22"/>
          <w:szCs w:val="22"/>
        </w:rPr>
        <w:t>rade boundaries are set to re</w:t>
      </w:r>
      <w:r w:rsidR="4AC9C0A9" w:rsidRPr="005F3206">
        <w:rPr>
          <w:rFonts w:asciiTheme="minorHAnsi" w:hAnsiTheme="minorHAnsi" w:cstheme="minorHAnsi"/>
          <w:sz w:val="22"/>
          <w:szCs w:val="22"/>
        </w:rPr>
        <w:t>fl</w:t>
      </w:r>
      <w:r w:rsidR="09BEF79C" w:rsidRPr="005F3206">
        <w:rPr>
          <w:rFonts w:asciiTheme="minorHAnsi" w:hAnsiTheme="minorHAnsi" w:cstheme="minorHAnsi"/>
          <w:sz w:val="22"/>
          <w:szCs w:val="22"/>
        </w:rPr>
        <w:t>e</w:t>
      </w:r>
      <w:r w:rsidR="4AC9C0A9" w:rsidRPr="005F3206">
        <w:rPr>
          <w:rFonts w:asciiTheme="minorHAnsi" w:hAnsiTheme="minorHAnsi" w:cstheme="minorHAnsi"/>
          <w:sz w:val="22"/>
          <w:szCs w:val="22"/>
        </w:rPr>
        <w:t>ct the appropriate</w:t>
      </w:r>
      <w:r w:rsidR="09BEF79C" w:rsidRPr="005F3206">
        <w:rPr>
          <w:rFonts w:asciiTheme="minorHAnsi" w:hAnsiTheme="minorHAnsi" w:cstheme="minorHAnsi"/>
          <w:sz w:val="22"/>
          <w:szCs w:val="22"/>
        </w:rPr>
        <w:t xml:space="preserve"> attainment of </w:t>
      </w:r>
      <w:r w:rsidR="00EE79C8" w:rsidRPr="005F3206">
        <w:rPr>
          <w:rFonts w:asciiTheme="minorHAnsi" w:hAnsiTheme="minorHAnsi" w:cstheme="minorHAnsi"/>
          <w:sz w:val="22"/>
          <w:szCs w:val="22"/>
        </w:rPr>
        <w:t>s</w:t>
      </w:r>
      <w:r w:rsidR="09BEF79C" w:rsidRPr="005F3206">
        <w:rPr>
          <w:rFonts w:asciiTheme="minorHAnsi" w:hAnsiTheme="minorHAnsi" w:cstheme="minorHAnsi"/>
          <w:sz w:val="22"/>
          <w:szCs w:val="22"/>
        </w:rPr>
        <w:t xml:space="preserve">kills, knowledge, and understanding across the grade descriptions for the course. Grade descriptions and notional grade boundaries are </w:t>
      </w:r>
      <w:r w:rsidR="5CD6DAD1" w:rsidRPr="005F3206">
        <w:rPr>
          <w:rFonts w:asciiTheme="minorHAnsi" w:hAnsiTheme="minorHAnsi" w:cstheme="minorHAnsi"/>
          <w:sz w:val="22"/>
          <w:szCs w:val="22"/>
        </w:rPr>
        <w:t xml:space="preserve">outlined in the course specification and are </w:t>
      </w:r>
      <w:r w:rsidR="09BEF79C" w:rsidRPr="005F3206">
        <w:rPr>
          <w:rFonts w:asciiTheme="minorHAnsi" w:hAnsiTheme="minorHAnsi" w:cstheme="minorHAnsi"/>
          <w:sz w:val="22"/>
          <w:szCs w:val="22"/>
        </w:rPr>
        <w:t>already in place before assessment takes place. Notional grade boundaries are as follows:</w:t>
      </w:r>
    </w:p>
    <w:p w14:paraId="2905A463" w14:textId="77777777" w:rsidR="00C519C3" w:rsidRPr="005F3206" w:rsidRDefault="09BEF79C" w:rsidP="40986C69">
      <w:pPr>
        <w:spacing w:after="0"/>
        <w:rPr>
          <w:rFonts w:cstheme="minorHAnsi"/>
        </w:rPr>
      </w:pPr>
      <w:r w:rsidRPr="005F3206">
        <w:rPr>
          <w:rFonts w:cstheme="minorHAnsi"/>
        </w:rPr>
        <w:t>Grade A — 70% of maximum marks available </w:t>
      </w:r>
    </w:p>
    <w:p w14:paraId="3D9C180B" w14:textId="77777777" w:rsidR="00C519C3" w:rsidRPr="005F3206" w:rsidRDefault="09BEF79C" w:rsidP="40986C69">
      <w:pPr>
        <w:spacing w:after="0"/>
        <w:rPr>
          <w:rFonts w:cstheme="minorHAnsi"/>
        </w:rPr>
      </w:pPr>
      <w:r w:rsidRPr="005F3206">
        <w:rPr>
          <w:rFonts w:cstheme="minorHAnsi"/>
        </w:rPr>
        <w:t>Grade B — 60% of maximum marks available </w:t>
      </w:r>
    </w:p>
    <w:p w14:paraId="410AB65A" w14:textId="77777777" w:rsidR="00C519C3" w:rsidRPr="005F3206" w:rsidRDefault="09BEF79C" w:rsidP="40986C69">
      <w:pPr>
        <w:spacing w:after="0"/>
        <w:rPr>
          <w:rFonts w:cstheme="minorHAnsi"/>
        </w:rPr>
      </w:pPr>
      <w:r w:rsidRPr="005F3206">
        <w:rPr>
          <w:rFonts w:cstheme="minorHAnsi"/>
        </w:rPr>
        <w:t>Grade C — 50% of maximum marks available </w:t>
      </w:r>
    </w:p>
    <w:p w14:paraId="3778FFF8" w14:textId="14E0F73D" w:rsidR="00C519C3" w:rsidRPr="005F3206" w:rsidRDefault="09BEF79C" w:rsidP="40986C69">
      <w:pPr>
        <w:spacing w:after="0"/>
        <w:rPr>
          <w:rFonts w:cstheme="minorHAnsi"/>
        </w:rPr>
      </w:pPr>
      <w:r w:rsidRPr="005F3206">
        <w:rPr>
          <w:rFonts w:cstheme="minorHAnsi"/>
        </w:rPr>
        <w:t>Grade D — 4</w:t>
      </w:r>
      <w:r w:rsidR="007873AB" w:rsidRPr="005F3206">
        <w:rPr>
          <w:rFonts w:cstheme="minorHAnsi"/>
        </w:rPr>
        <w:t>0</w:t>
      </w:r>
      <w:r w:rsidRPr="005F3206">
        <w:rPr>
          <w:rFonts w:cstheme="minorHAnsi"/>
        </w:rPr>
        <w:t xml:space="preserve">% of maximum marks </w:t>
      </w:r>
      <w:proofErr w:type="gramStart"/>
      <w:r w:rsidRPr="005F3206">
        <w:rPr>
          <w:rFonts w:cstheme="minorHAnsi"/>
        </w:rPr>
        <w:t>available </w:t>
      </w:r>
      <w:r w:rsidR="007873AB" w:rsidRPr="005F3206">
        <w:rPr>
          <w:rFonts w:cstheme="minorHAnsi"/>
        </w:rPr>
        <w:t xml:space="preserve"> (</w:t>
      </w:r>
      <w:proofErr w:type="gramEnd"/>
      <w:r w:rsidR="007873AB" w:rsidRPr="005945A1">
        <w:rPr>
          <w:rFonts w:cstheme="minorHAnsi"/>
        </w:rPr>
        <w:t>previously 4</w:t>
      </w:r>
      <w:r w:rsidR="001562BE" w:rsidRPr="005945A1">
        <w:rPr>
          <w:rFonts w:cstheme="minorHAnsi"/>
        </w:rPr>
        <w:t>5</w:t>
      </w:r>
      <w:r w:rsidR="007873AB" w:rsidRPr="005945A1">
        <w:rPr>
          <w:rFonts w:cstheme="minorHAnsi"/>
        </w:rPr>
        <w:t>%</w:t>
      </w:r>
      <w:r w:rsidR="007873AB" w:rsidRPr="005F3206">
        <w:rPr>
          <w:rFonts w:cstheme="minorHAnsi"/>
        </w:rPr>
        <w:t xml:space="preserve"> prior to the Revised National Qualifications resulting from the removal of units from Graded National Courses </w:t>
      </w:r>
      <w:r w:rsidR="001562BE">
        <w:rPr>
          <w:rFonts w:cstheme="minorHAnsi"/>
        </w:rPr>
        <w:t>between</w:t>
      </w:r>
      <w:r w:rsidR="007873AB" w:rsidRPr="005F3206">
        <w:rPr>
          <w:rFonts w:cstheme="minorHAnsi"/>
        </w:rPr>
        <w:t xml:space="preserve"> 2017</w:t>
      </w:r>
      <w:r w:rsidR="001562BE">
        <w:rPr>
          <w:rFonts w:cstheme="minorHAnsi"/>
        </w:rPr>
        <w:t xml:space="preserve"> and 2019</w:t>
      </w:r>
      <w:r w:rsidR="007873AB" w:rsidRPr="005F3206">
        <w:rPr>
          <w:rFonts w:cstheme="minorHAnsi"/>
        </w:rPr>
        <w:t>)</w:t>
      </w:r>
    </w:p>
    <w:p w14:paraId="71D800B3" w14:textId="0812084A" w:rsidR="00C519C3" w:rsidRPr="005F3206" w:rsidRDefault="00C519C3" w:rsidP="40986C69">
      <w:pPr>
        <w:spacing w:after="0"/>
        <w:rPr>
          <w:rFonts w:cstheme="minorHAnsi"/>
        </w:rPr>
      </w:pPr>
    </w:p>
    <w:p w14:paraId="5897FCC5" w14:textId="4910AC25" w:rsidR="005F3206" w:rsidRDefault="44A352B2" w:rsidP="40986C69">
      <w:pPr>
        <w:spacing w:after="0"/>
        <w:rPr>
          <w:rStyle w:val="CommentReference"/>
          <w:rFonts w:cstheme="minorHAnsi"/>
          <w:sz w:val="22"/>
          <w:szCs w:val="22"/>
        </w:rPr>
      </w:pPr>
      <w:r w:rsidRPr="005F3206">
        <w:rPr>
          <w:rFonts w:cstheme="minorHAnsi"/>
        </w:rPr>
        <w:t>SQA use</w:t>
      </w:r>
      <w:r w:rsidR="007873AB" w:rsidRPr="005F3206">
        <w:rPr>
          <w:rFonts w:cstheme="minorHAnsi"/>
        </w:rPr>
        <w:t>s</w:t>
      </w:r>
      <w:r w:rsidRPr="005F3206">
        <w:rPr>
          <w:rFonts w:cstheme="minorHAnsi"/>
        </w:rPr>
        <w:t xml:space="preserve"> the </w:t>
      </w:r>
      <w:r w:rsidR="3563FA02" w:rsidRPr="005F3206">
        <w:rPr>
          <w:rFonts w:cstheme="minorHAnsi"/>
        </w:rPr>
        <w:t>awarding process t</w:t>
      </w:r>
      <w:r w:rsidR="2A1C3342" w:rsidRPr="005F3206">
        <w:rPr>
          <w:rStyle w:val="normaltextrun"/>
          <w:rFonts w:cstheme="minorHAnsi"/>
          <w:color w:val="000000" w:themeColor="text1"/>
        </w:rPr>
        <w:t>o ensure that the national standard is maintained</w:t>
      </w:r>
      <w:r w:rsidR="00441211">
        <w:rPr>
          <w:rStyle w:val="normaltextrun"/>
          <w:rFonts w:cstheme="minorHAnsi"/>
          <w:color w:val="000000" w:themeColor="text1"/>
        </w:rPr>
        <w:t xml:space="preserve"> over time</w:t>
      </w:r>
      <w:r w:rsidR="2A1C3342" w:rsidRPr="005F3206">
        <w:rPr>
          <w:rStyle w:val="normaltextrun"/>
          <w:rFonts w:cstheme="minorHAnsi"/>
          <w:color w:val="000000" w:themeColor="text1"/>
        </w:rPr>
        <w:t xml:space="preserve"> for these courses.</w:t>
      </w:r>
      <w:r w:rsidR="0051D9DA" w:rsidRPr="005F3206">
        <w:rPr>
          <w:rStyle w:val="normaltextrun"/>
          <w:rFonts w:cstheme="minorHAnsi"/>
          <w:color w:val="000000" w:themeColor="text1"/>
        </w:rPr>
        <w:t xml:space="preserve"> </w:t>
      </w:r>
      <w:r w:rsidR="008F28D7" w:rsidRPr="005F3206">
        <w:rPr>
          <w:rStyle w:val="normaltextrun"/>
          <w:rFonts w:cstheme="minorHAnsi"/>
          <w:color w:val="000000" w:themeColor="text1"/>
        </w:rPr>
        <w:t xml:space="preserve">SQA’s </w:t>
      </w:r>
      <w:r w:rsidR="00A673CA" w:rsidRPr="005F3206">
        <w:rPr>
          <w:rStyle w:val="normaltextrun"/>
          <w:rFonts w:cstheme="minorHAnsi"/>
          <w:color w:val="000000"/>
          <w:shd w:val="clear" w:color="auto" w:fill="FFFFFF"/>
        </w:rPr>
        <w:t>P</w:t>
      </w:r>
      <w:r w:rsidR="00C519C3" w:rsidRPr="005F3206">
        <w:rPr>
          <w:rStyle w:val="normaltextrun"/>
          <w:rFonts w:cstheme="minorHAnsi"/>
          <w:color w:val="000000"/>
          <w:shd w:val="clear" w:color="auto" w:fill="FFFFFF"/>
        </w:rPr>
        <w:t>rincipal </w:t>
      </w:r>
      <w:r w:rsidR="00A673CA" w:rsidRPr="005F3206">
        <w:rPr>
          <w:rStyle w:val="normaltextrun"/>
          <w:rFonts w:cstheme="minorHAnsi"/>
          <w:color w:val="000000"/>
          <w:shd w:val="clear" w:color="auto" w:fill="FFFFFF"/>
        </w:rPr>
        <w:t>A</w:t>
      </w:r>
      <w:r w:rsidR="00C519C3" w:rsidRPr="005F3206">
        <w:rPr>
          <w:rStyle w:val="normaltextrun"/>
          <w:rFonts w:cstheme="minorHAnsi"/>
          <w:color w:val="000000"/>
          <w:shd w:val="clear" w:color="auto" w:fill="FFFFFF"/>
        </w:rPr>
        <w:t>ssessors (</w:t>
      </w:r>
      <w:r w:rsidR="76EA6579" w:rsidRPr="005F3206">
        <w:rPr>
          <w:rStyle w:val="normaltextrun"/>
          <w:rFonts w:cstheme="minorHAnsi"/>
          <w:color w:val="000000"/>
          <w:shd w:val="clear" w:color="auto" w:fill="FFFFFF"/>
        </w:rPr>
        <w:t>appointees</w:t>
      </w:r>
      <w:r w:rsidR="00C514D0" w:rsidRPr="005F3206">
        <w:rPr>
          <w:rStyle w:val="normaltextrun"/>
          <w:rFonts w:cstheme="minorHAnsi"/>
          <w:color w:val="000000"/>
          <w:shd w:val="clear" w:color="auto" w:fill="FFFFFF"/>
        </w:rPr>
        <w:t xml:space="preserve"> who are contracted to work for SQA on a part-</w:t>
      </w:r>
      <w:r w:rsidR="00C514D0" w:rsidRPr="005F3206">
        <w:rPr>
          <w:rStyle w:val="normaltextrun"/>
          <w:rFonts w:cstheme="minorHAnsi"/>
          <w:color w:val="000000"/>
          <w:shd w:val="clear" w:color="auto" w:fill="FFFFFF"/>
        </w:rPr>
        <w:lastRenderedPageBreak/>
        <w:t>time basis and whose main role will ge</w:t>
      </w:r>
      <w:r w:rsidR="008F28D7" w:rsidRPr="005F3206">
        <w:rPr>
          <w:rStyle w:val="normaltextrun"/>
          <w:rFonts w:cstheme="minorHAnsi"/>
          <w:color w:val="000000"/>
          <w:shd w:val="clear" w:color="auto" w:fill="FFFFFF"/>
        </w:rPr>
        <w:t>n</w:t>
      </w:r>
      <w:r w:rsidR="00C514D0" w:rsidRPr="005F3206">
        <w:rPr>
          <w:rStyle w:val="normaltextrun"/>
          <w:rFonts w:cstheme="minorHAnsi"/>
          <w:color w:val="000000"/>
          <w:shd w:val="clear" w:color="auto" w:fill="FFFFFF"/>
        </w:rPr>
        <w:t xml:space="preserve">erally be in teaching and assessing SQA’s qualifications in one of our centres) </w:t>
      </w:r>
      <w:r w:rsidR="008F28D7" w:rsidRPr="005F3206">
        <w:rPr>
          <w:rStyle w:val="normaltextrun"/>
          <w:rFonts w:cstheme="minorHAnsi"/>
          <w:color w:val="000000"/>
          <w:shd w:val="clear" w:color="auto" w:fill="FFFFFF"/>
        </w:rPr>
        <w:t>an</w:t>
      </w:r>
      <w:r w:rsidR="00C519C3" w:rsidRPr="005F3206">
        <w:rPr>
          <w:rStyle w:val="normaltextrun"/>
          <w:rFonts w:cstheme="minorHAnsi"/>
          <w:color w:val="000000"/>
          <w:shd w:val="clear" w:color="auto" w:fill="FFFFFF"/>
        </w:rPr>
        <w:t>d Qualification Managers (internal</w:t>
      </w:r>
      <w:r w:rsidR="41A8E279" w:rsidRPr="005F3206">
        <w:rPr>
          <w:rStyle w:val="normaltextrun"/>
          <w:rFonts w:cstheme="minorHAnsi"/>
          <w:color w:val="000000"/>
          <w:shd w:val="clear" w:color="auto" w:fill="FFFFFF"/>
        </w:rPr>
        <w:t xml:space="preserve"> SQA staff</w:t>
      </w:r>
      <w:r w:rsidR="00C519C3" w:rsidRPr="005F3206">
        <w:rPr>
          <w:rStyle w:val="normaltextrun"/>
          <w:rFonts w:cstheme="minorHAnsi"/>
          <w:color w:val="000000"/>
          <w:shd w:val="clear" w:color="auto" w:fill="FFFFFF"/>
        </w:rPr>
        <w:t xml:space="preserve">) </w:t>
      </w:r>
      <w:r w:rsidR="008F28D7" w:rsidRPr="005F3206">
        <w:rPr>
          <w:rStyle w:val="normaltextrun"/>
          <w:rFonts w:cstheme="minorHAnsi"/>
          <w:color w:val="000000"/>
          <w:shd w:val="clear" w:color="auto" w:fill="FFFFFF"/>
        </w:rPr>
        <w:t xml:space="preserve">work together with other appointees </w:t>
      </w:r>
      <w:r w:rsidR="005F3206" w:rsidRPr="005F3206">
        <w:rPr>
          <w:rStyle w:val="normaltextrun"/>
          <w:rFonts w:cstheme="minorHAnsi"/>
          <w:color w:val="000000"/>
          <w:shd w:val="clear" w:color="auto" w:fill="FFFFFF"/>
        </w:rPr>
        <w:t xml:space="preserve">to develop and quality assure the </w:t>
      </w:r>
      <w:r w:rsidR="00C519C3" w:rsidRPr="005F3206">
        <w:rPr>
          <w:rStyle w:val="normaltextrun"/>
          <w:rFonts w:cstheme="minorHAnsi"/>
          <w:color w:val="000000" w:themeColor="text1"/>
          <w:shd w:val="clear" w:color="auto" w:fill="FFFFFF"/>
        </w:rPr>
        <w:t>course assessment</w:t>
      </w:r>
      <w:r w:rsidR="005F3206" w:rsidRPr="005F3206">
        <w:rPr>
          <w:rStyle w:val="CommentReference"/>
          <w:rFonts w:cstheme="minorHAnsi"/>
          <w:sz w:val="22"/>
          <w:szCs w:val="22"/>
        </w:rPr>
        <w:t>s, both coursework and examination.</w:t>
      </w:r>
      <w:r w:rsidR="00D64E42">
        <w:rPr>
          <w:rStyle w:val="CommentReference"/>
          <w:rFonts w:cstheme="minorHAnsi"/>
          <w:sz w:val="22"/>
          <w:szCs w:val="22"/>
        </w:rPr>
        <w:t xml:space="preserve"> As noted above during this process n</w:t>
      </w:r>
      <w:r w:rsidR="00D64E42" w:rsidRPr="00475471">
        <w:rPr>
          <w:rFonts w:cstheme="minorHAnsi"/>
        </w:rPr>
        <w:t xml:space="preserve">otional grade boundaries are used </w:t>
      </w:r>
      <w:r w:rsidR="00D64E42" w:rsidRPr="00475471">
        <w:rPr>
          <w:rStyle w:val="cf01"/>
          <w:rFonts w:asciiTheme="minorHAnsi" w:hAnsiTheme="minorHAnsi" w:cstheme="minorHAnsi"/>
          <w:sz w:val="22"/>
          <w:szCs w:val="22"/>
        </w:rPr>
        <w:t>as a guide to question paper setters as a ‘target’</w:t>
      </w:r>
      <w:r w:rsidR="00D64E42">
        <w:rPr>
          <w:rStyle w:val="cf01"/>
          <w:rFonts w:asciiTheme="minorHAnsi" w:hAnsiTheme="minorHAnsi" w:cstheme="minorHAnsi"/>
          <w:sz w:val="22"/>
          <w:szCs w:val="22"/>
        </w:rPr>
        <w:t>.</w:t>
      </w:r>
    </w:p>
    <w:p w14:paraId="0EC78641" w14:textId="77777777" w:rsidR="005F3206" w:rsidRDefault="005F3206" w:rsidP="40986C69">
      <w:pPr>
        <w:spacing w:after="0"/>
        <w:rPr>
          <w:rStyle w:val="CommentReference"/>
          <w:rFonts w:cstheme="minorHAnsi"/>
          <w:sz w:val="22"/>
          <w:szCs w:val="22"/>
        </w:rPr>
      </w:pPr>
    </w:p>
    <w:p w14:paraId="6D973DBB" w14:textId="4C3D5889" w:rsidR="00405B44" w:rsidRDefault="005F3206" w:rsidP="40986C69">
      <w:pPr>
        <w:spacing w:after="0"/>
        <w:rPr>
          <w:rFonts w:eastAsia="Arial" w:cstheme="minorHAnsi"/>
          <w:color w:val="000000" w:themeColor="text1"/>
        </w:rPr>
      </w:pPr>
      <w:r>
        <w:rPr>
          <w:rStyle w:val="CommentReference"/>
          <w:rFonts w:cstheme="minorHAnsi"/>
          <w:sz w:val="22"/>
          <w:szCs w:val="22"/>
        </w:rPr>
        <w:t>Following completion of the assessment by candidates and of the subsequent marking and quality assurance procedures</w:t>
      </w:r>
      <w:r w:rsidR="00405B44">
        <w:rPr>
          <w:rStyle w:val="CommentReference"/>
          <w:rFonts w:cstheme="minorHAnsi"/>
          <w:sz w:val="22"/>
          <w:szCs w:val="22"/>
        </w:rPr>
        <w:t xml:space="preserve">, </w:t>
      </w:r>
      <w:r w:rsidR="652C5F2F" w:rsidRPr="005F3206">
        <w:rPr>
          <w:rFonts w:eastAsia="Arial" w:cstheme="minorHAnsi"/>
          <w:color w:val="000000" w:themeColor="text1"/>
        </w:rPr>
        <w:t>awarding meeting</w:t>
      </w:r>
      <w:r w:rsidR="00C97305">
        <w:rPr>
          <w:rFonts w:eastAsia="Arial" w:cstheme="minorHAnsi"/>
          <w:color w:val="000000" w:themeColor="text1"/>
        </w:rPr>
        <w:t xml:space="preserve">s are </w:t>
      </w:r>
      <w:r w:rsidR="00405B44">
        <w:rPr>
          <w:rFonts w:eastAsia="Arial" w:cstheme="minorHAnsi"/>
          <w:color w:val="000000" w:themeColor="text1"/>
        </w:rPr>
        <w:t>held to determine grade boundar</w:t>
      </w:r>
      <w:r w:rsidR="00C97305">
        <w:rPr>
          <w:rFonts w:eastAsia="Arial" w:cstheme="minorHAnsi"/>
          <w:color w:val="000000" w:themeColor="text1"/>
        </w:rPr>
        <w:t>ies</w:t>
      </w:r>
      <w:r w:rsidR="00441211">
        <w:rPr>
          <w:rFonts w:eastAsia="Arial" w:cstheme="minorHAnsi"/>
          <w:color w:val="000000" w:themeColor="text1"/>
        </w:rPr>
        <w:t xml:space="preserve"> for the whole course, not at component level</w:t>
      </w:r>
      <w:r w:rsidR="00EB3CA7">
        <w:rPr>
          <w:rFonts w:eastAsia="Arial" w:cstheme="minorHAnsi"/>
          <w:color w:val="000000" w:themeColor="text1"/>
        </w:rPr>
        <w:t>.</w:t>
      </w:r>
    </w:p>
    <w:p w14:paraId="456611BE" w14:textId="77777777" w:rsidR="00405B44" w:rsidRDefault="00405B44" w:rsidP="40986C69">
      <w:pPr>
        <w:spacing w:after="0"/>
        <w:rPr>
          <w:rFonts w:eastAsia="Arial" w:cstheme="minorHAnsi"/>
          <w:color w:val="000000" w:themeColor="text1"/>
        </w:rPr>
      </w:pPr>
    </w:p>
    <w:p w14:paraId="1D0F70AF" w14:textId="09C8ADC5" w:rsidR="00DC371B" w:rsidRPr="005F3206" w:rsidRDefault="00DC371B" w:rsidP="00DC371B">
      <w:pPr>
        <w:rPr>
          <w:rStyle w:val="normaltextrun"/>
          <w:rFonts w:cstheme="minorHAnsi"/>
          <w:color w:val="000000" w:themeColor="text1"/>
        </w:rPr>
      </w:pPr>
      <w:r w:rsidRPr="005F3206">
        <w:rPr>
          <w:rStyle w:val="normaltextrun"/>
          <w:rFonts w:cstheme="minorHAnsi"/>
        </w:rPr>
        <w:t xml:space="preserve">The key principle of awarding is to determine if the assessment </w:t>
      </w:r>
      <w:r>
        <w:rPr>
          <w:rStyle w:val="normaltextrun"/>
          <w:rFonts w:cstheme="minorHAnsi"/>
        </w:rPr>
        <w:t>has performed as expected when it was set</w:t>
      </w:r>
      <w:r>
        <w:rPr>
          <w:rStyle w:val="CommentReference"/>
          <w:rFonts w:cstheme="minorHAnsi"/>
          <w:sz w:val="22"/>
          <w:szCs w:val="22"/>
        </w:rPr>
        <w:t xml:space="preserve">, </w:t>
      </w:r>
      <w:r w:rsidRPr="005F3206">
        <w:rPr>
          <w:rStyle w:val="normaltextrun"/>
          <w:rFonts w:cstheme="minorHAnsi"/>
        </w:rPr>
        <w:t xml:space="preserve">and to set grade boundaries that take the difficulty of the assessment into account. </w:t>
      </w:r>
      <w:r>
        <w:rPr>
          <w:rStyle w:val="normaltextrun"/>
          <w:rFonts w:cstheme="minorHAnsi"/>
        </w:rPr>
        <w:t>As noted above there is no consensus on the best way of doing this and so practice varies across qualification award</w:t>
      </w:r>
      <w:r w:rsidR="00441211">
        <w:rPr>
          <w:rStyle w:val="normaltextrun"/>
          <w:rFonts w:cstheme="minorHAnsi"/>
        </w:rPr>
        <w:t>ing</w:t>
      </w:r>
      <w:r>
        <w:rPr>
          <w:rStyle w:val="normaltextrun"/>
          <w:rFonts w:cstheme="minorHAnsi"/>
        </w:rPr>
        <w:t xml:space="preserve"> bodies and similar institutions.</w:t>
      </w:r>
    </w:p>
    <w:p w14:paraId="2A8678A3" w14:textId="04198067" w:rsidR="006804BA" w:rsidRDefault="00DC371B" w:rsidP="40986C69">
      <w:pPr>
        <w:spacing w:after="0"/>
        <w:rPr>
          <w:rFonts w:eastAsia="Arial" w:cstheme="minorHAnsi"/>
          <w:color w:val="000000" w:themeColor="text1"/>
        </w:rPr>
      </w:pPr>
      <w:r w:rsidRPr="00EB3CA7">
        <w:rPr>
          <w:rFonts w:eastAsia="Arial" w:cstheme="minorHAnsi"/>
          <w:color w:val="000000" w:themeColor="text1"/>
        </w:rPr>
        <w:t xml:space="preserve">Within SQA </w:t>
      </w:r>
      <w:r>
        <w:rPr>
          <w:rFonts w:eastAsia="Arial" w:cstheme="minorHAnsi"/>
          <w:color w:val="000000" w:themeColor="text1"/>
        </w:rPr>
        <w:t>o</w:t>
      </w:r>
      <w:r w:rsidR="00405B44">
        <w:rPr>
          <w:rFonts w:eastAsia="Arial" w:cstheme="minorHAnsi"/>
          <w:color w:val="000000" w:themeColor="text1"/>
        </w:rPr>
        <w:t xml:space="preserve">ne awarding meeting is </w:t>
      </w:r>
      <w:r w:rsidR="00CC242A">
        <w:rPr>
          <w:rFonts w:eastAsia="Arial" w:cstheme="minorHAnsi"/>
          <w:color w:val="000000" w:themeColor="text1"/>
        </w:rPr>
        <w:t xml:space="preserve">generally </w:t>
      </w:r>
      <w:r w:rsidR="00405B44">
        <w:rPr>
          <w:rFonts w:eastAsia="Arial" w:cstheme="minorHAnsi"/>
          <w:color w:val="000000" w:themeColor="text1"/>
        </w:rPr>
        <w:t>hel</w:t>
      </w:r>
      <w:r w:rsidR="00AA531B">
        <w:rPr>
          <w:rFonts w:eastAsia="Arial" w:cstheme="minorHAnsi"/>
          <w:color w:val="000000" w:themeColor="text1"/>
        </w:rPr>
        <w:t>d</w:t>
      </w:r>
      <w:r w:rsidR="00405B44">
        <w:rPr>
          <w:rFonts w:eastAsia="Arial" w:cstheme="minorHAnsi"/>
          <w:color w:val="000000" w:themeColor="text1"/>
        </w:rPr>
        <w:t xml:space="preserve"> for each Graded National Course</w:t>
      </w:r>
      <w:r w:rsidR="006804BA">
        <w:rPr>
          <w:rFonts w:eastAsia="Arial" w:cstheme="minorHAnsi"/>
          <w:color w:val="000000" w:themeColor="text1"/>
        </w:rPr>
        <w:t xml:space="preserve"> and at each meeting only the Course in question is the subject of decision making.  </w:t>
      </w:r>
      <w:r w:rsidR="002D3B01" w:rsidRPr="005F3206">
        <w:rPr>
          <w:rFonts w:cstheme="minorHAnsi"/>
          <w:color w:val="000000"/>
          <w:shd w:val="clear" w:color="auto" w:fill="FFFFFF"/>
        </w:rPr>
        <w:t>Decisions on the</w:t>
      </w:r>
      <w:r w:rsidR="00AA531B">
        <w:rPr>
          <w:rFonts w:cstheme="minorHAnsi"/>
          <w:color w:val="000000"/>
          <w:shd w:val="clear" w:color="auto" w:fill="FFFFFF"/>
        </w:rPr>
        <w:t xml:space="preserve"> appropriate g</w:t>
      </w:r>
      <w:r w:rsidR="002D3B01" w:rsidRPr="005F3206">
        <w:rPr>
          <w:rFonts w:cstheme="minorHAnsi"/>
          <w:color w:val="000000"/>
          <w:shd w:val="clear" w:color="auto" w:fill="FFFFFF"/>
        </w:rPr>
        <w:t xml:space="preserve">rade boundaries are made by </w:t>
      </w:r>
      <w:r w:rsidR="00B77DEE">
        <w:rPr>
          <w:rFonts w:cstheme="minorHAnsi"/>
          <w:color w:val="000000"/>
          <w:shd w:val="clear" w:color="auto" w:fill="FFFFFF"/>
        </w:rPr>
        <w:t xml:space="preserve">a Panel comprising </w:t>
      </w:r>
      <w:r w:rsidR="002D3B01" w:rsidRPr="005F3206">
        <w:rPr>
          <w:rFonts w:cstheme="minorHAnsi"/>
          <w:color w:val="000000"/>
          <w:shd w:val="clear" w:color="auto" w:fill="FFFFFF"/>
        </w:rPr>
        <w:t>external subject specialists, appointed by SQA, and SQA staff, who have subject, assessment, and/or statistical expertise.</w:t>
      </w:r>
      <w:r w:rsidR="00496ECA">
        <w:rPr>
          <w:rFonts w:cstheme="minorHAnsi"/>
          <w:color w:val="000000"/>
          <w:shd w:val="clear" w:color="auto" w:fill="FFFFFF"/>
        </w:rPr>
        <w:t xml:space="preserve"> These arrangements mean that multiple sources of evidence are considered.</w:t>
      </w:r>
      <w:r w:rsidR="002D3B01">
        <w:rPr>
          <w:rFonts w:cstheme="minorHAnsi"/>
          <w:color w:val="000000"/>
          <w:shd w:val="clear" w:color="auto" w:fill="FFFFFF"/>
        </w:rPr>
        <w:t xml:space="preserve"> Each </w:t>
      </w:r>
      <w:r w:rsidR="001562BE">
        <w:rPr>
          <w:rFonts w:cstheme="minorHAnsi"/>
          <w:color w:val="000000"/>
          <w:shd w:val="clear" w:color="auto" w:fill="FFFFFF"/>
        </w:rPr>
        <w:t>Awarding</w:t>
      </w:r>
      <w:r w:rsidR="002D3B01">
        <w:rPr>
          <w:rFonts w:cstheme="minorHAnsi"/>
          <w:color w:val="000000"/>
          <w:shd w:val="clear" w:color="auto" w:fill="FFFFFF"/>
        </w:rPr>
        <w:t xml:space="preserve"> </w:t>
      </w:r>
      <w:r w:rsidR="003804A3">
        <w:rPr>
          <w:rFonts w:cstheme="minorHAnsi"/>
          <w:color w:val="000000"/>
          <w:shd w:val="clear" w:color="auto" w:fill="FFFFFF"/>
        </w:rPr>
        <w:t xml:space="preserve">Panel </w:t>
      </w:r>
      <w:r w:rsidR="002D3B01">
        <w:rPr>
          <w:rFonts w:cstheme="minorHAnsi"/>
          <w:color w:val="000000"/>
          <w:shd w:val="clear" w:color="auto" w:fill="FFFFFF"/>
        </w:rPr>
        <w:t xml:space="preserve">meeting </w:t>
      </w:r>
      <w:r w:rsidR="00B925DE">
        <w:rPr>
          <w:rFonts w:cstheme="minorHAnsi"/>
          <w:color w:val="000000"/>
          <w:shd w:val="clear" w:color="auto" w:fill="FFFFFF"/>
        </w:rPr>
        <w:t xml:space="preserve">is chaired by a member of SQA’s Senior Management Team and </w:t>
      </w:r>
      <w:r w:rsidR="002D3B01">
        <w:rPr>
          <w:rFonts w:cstheme="minorHAnsi"/>
          <w:color w:val="000000"/>
          <w:shd w:val="clear" w:color="auto" w:fill="FFFFFF"/>
        </w:rPr>
        <w:t xml:space="preserve">follows a </w:t>
      </w:r>
      <w:r w:rsidR="00B925DE">
        <w:rPr>
          <w:rFonts w:cstheme="minorHAnsi"/>
          <w:color w:val="000000"/>
          <w:shd w:val="clear" w:color="auto" w:fill="FFFFFF"/>
        </w:rPr>
        <w:t>common agenda and process.</w:t>
      </w:r>
    </w:p>
    <w:p w14:paraId="32A909C0" w14:textId="77777777" w:rsidR="006804BA" w:rsidRDefault="006804BA" w:rsidP="40986C69">
      <w:pPr>
        <w:spacing w:after="0"/>
        <w:rPr>
          <w:rFonts w:eastAsia="Arial" w:cstheme="minorHAnsi"/>
          <w:color w:val="000000" w:themeColor="text1"/>
        </w:rPr>
      </w:pPr>
    </w:p>
    <w:p w14:paraId="0281DA1B" w14:textId="05FACA2E" w:rsidR="00A74DFF" w:rsidRDefault="00C519C3" w:rsidP="40986C69">
      <w:pPr>
        <w:rPr>
          <w:rStyle w:val="normaltextrun"/>
          <w:rFonts w:cstheme="minorHAnsi"/>
        </w:rPr>
      </w:pPr>
      <w:r w:rsidRPr="005F3206">
        <w:rPr>
          <w:rFonts w:cstheme="minorHAnsi"/>
        </w:rPr>
        <w:t xml:space="preserve">Awarding </w:t>
      </w:r>
      <w:r w:rsidR="005908F8">
        <w:rPr>
          <w:rFonts w:cstheme="minorHAnsi"/>
        </w:rPr>
        <w:t xml:space="preserve">Panel </w:t>
      </w:r>
      <w:r w:rsidRPr="005F3206">
        <w:rPr>
          <w:rFonts w:cstheme="minorHAnsi"/>
        </w:rPr>
        <w:t xml:space="preserve">meetings are held to assess the extent to which </w:t>
      </w:r>
      <w:r w:rsidR="62D07B17" w:rsidRPr="005F3206">
        <w:rPr>
          <w:rFonts w:cstheme="minorHAnsi"/>
        </w:rPr>
        <w:t xml:space="preserve">the </w:t>
      </w:r>
      <w:r w:rsidRPr="005F3206">
        <w:rPr>
          <w:rFonts w:cstheme="minorHAnsi"/>
        </w:rPr>
        <w:t>intention</w:t>
      </w:r>
      <w:r w:rsidR="5C547EBF" w:rsidRPr="005F3206">
        <w:rPr>
          <w:rFonts w:cstheme="minorHAnsi"/>
        </w:rPr>
        <w:t>s of the assessment</w:t>
      </w:r>
      <w:r w:rsidRPr="005F3206">
        <w:rPr>
          <w:rFonts w:cstheme="minorHAnsi"/>
        </w:rPr>
        <w:t xml:space="preserve"> have been met and to set grade boundaries accordingly.</w:t>
      </w:r>
      <w:r w:rsidR="00BE37A0" w:rsidRPr="005F3206">
        <w:rPr>
          <w:rFonts w:cstheme="minorHAnsi"/>
        </w:rPr>
        <w:t xml:space="preserve"> </w:t>
      </w:r>
      <w:r w:rsidR="0041351D" w:rsidRPr="005F3206">
        <w:rPr>
          <w:rStyle w:val="normaltextrun"/>
          <w:rFonts w:cstheme="minorHAnsi"/>
          <w:color w:val="000000"/>
          <w:shd w:val="clear" w:color="auto" w:fill="FFFFFF"/>
        </w:rPr>
        <w:t xml:space="preserve">The grade boundary decisions must be justified by information on the </w:t>
      </w:r>
      <w:r w:rsidR="0041351D">
        <w:rPr>
          <w:rStyle w:val="normaltextrun"/>
          <w:rFonts w:cstheme="minorHAnsi"/>
          <w:color w:val="000000"/>
          <w:shd w:val="clear" w:color="auto" w:fill="FFFFFF"/>
        </w:rPr>
        <w:t xml:space="preserve">performance of the </w:t>
      </w:r>
      <w:r w:rsidR="0041351D" w:rsidRPr="005F3206">
        <w:rPr>
          <w:rStyle w:val="normaltextrun"/>
          <w:rFonts w:cstheme="minorHAnsi"/>
          <w:color w:val="000000"/>
          <w:shd w:val="clear" w:color="auto" w:fill="FFFFFF"/>
        </w:rPr>
        <w:t>assessment instrument</w:t>
      </w:r>
      <w:r w:rsidR="0041351D">
        <w:rPr>
          <w:rStyle w:val="normaltextrun"/>
          <w:rFonts w:cstheme="minorHAnsi"/>
          <w:color w:val="000000"/>
          <w:shd w:val="clear" w:color="auto" w:fill="FFFFFF"/>
        </w:rPr>
        <w:t>s</w:t>
      </w:r>
      <w:r w:rsidR="0041351D" w:rsidRPr="005F3206">
        <w:rPr>
          <w:rStyle w:val="normaltextrun"/>
          <w:rFonts w:cstheme="minorHAnsi"/>
          <w:color w:val="000000"/>
          <w:shd w:val="clear" w:color="auto" w:fill="FFFFFF"/>
        </w:rPr>
        <w:t xml:space="preserve">. </w:t>
      </w:r>
      <w:r w:rsidR="000F22F0" w:rsidRPr="005F3206">
        <w:rPr>
          <w:rStyle w:val="normaltextrun"/>
          <w:rFonts w:cstheme="minorHAnsi"/>
        </w:rPr>
        <w:t xml:space="preserve">If the assessment </w:t>
      </w:r>
      <w:r w:rsidR="00767865">
        <w:rPr>
          <w:rStyle w:val="normaltextrun"/>
          <w:rFonts w:cstheme="minorHAnsi"/>
        </w:rPr>
        <w:t xml:space="preserve">has </w:t>
      </w:r>
      <w:r w:rsidR="000F22F0" w:rsidRPr="005F3206">
        <w:rPr>
          <w:rStyle w:val="normaltextrun"/>
          <w:rFonts w:cstheme="minorHAnsi"/>
        </w:rPr>
        <w:t>function</w:t>
      </w:r>
      <w:r w:rsidR="00767865">
        <w:rPr>
          <w:rStyle w:val="normaltextrun"/>
          <w:rFonts w:cstheme="minorHAnsi"/>
        </w:rPr>
        <w:t>ed</w:t>
      </w:r>
      <w:r w:rsidR="000F22F0" w:rsidRPr="005F3206">
        <w:rPr>
          <w:rStyle w:val="normaltextrun"/>
          <w:rFonts w:cstheme="minorHAnsi"/>
        </w:rPr>
        <w:t xml:space="preserve"> as expected, the grade boundaries will </w:t>
      </w:r>
      <w:r w:rsidR="00072CF5" w:rsidRPr="005F3206">
        <w:rPr>
          <w:rStyle w:val="normaltextrun"/>
          <w:rFonts w:cstheme="minorHAnsi"/>
        </w:rPr>
        <w:t xml:space="preserve">remain </w:t>
      </w:r>
      <w:r w:rsidR="00090A20">
        <w:rPr>
          <w:rStyle w:val="normaltextrun"/>
          <w:rFonts w:cstheme="minorHAnsi"/>
        </w:rPr>
        <w:t>at or close to the notional boundaries noted above</w:t>
      </w:r>
      <w:r w:rsidR="000F22F0" w:rsidRPr="005F3206">
        <w:rPr>
          <w:rStyle w:val="normaltextrun"/>
          <w:rFonts w:cstheme="minorHAnsi"/>
        </w:rPr>
        <w:t>. However, if the assessment</w:t>
      </w:r>
      <w:r w:rsidR="00DC371B">
        <w:rPr>
          <w:rStyle w:val="normaltextrun"/>
          <w:rFonts w:cstheme="minorHAnsi"/>
        </w:rPr>
        <w:t>s</w:t>
      </w:r>
      <w:r w:rsidR="000F22F0" w:rsidRPr="005F3206">
        <w:rPr>
          <w:rStyle w:val="normaltextrun"/>
          <w:rFonts w:cstheme="minorHAnsi"/>
        </w:rPr>
        <w:t> posed an unintended level of d</w:t>
      </w:r>
      <w:r w:rsidR="00DC371B">
        <w:rPr>
          <w:rStyle w:val="normaltextrun"/>
          <w:rFonts w:cstheme="minorHAnsi"/>
        </w:rPr>
        <w:t>emand</w:t>
      </w:r>
      <w:r w:rsidR="000F22F0" w:rsidRPr="005F3206">
        <w:rPr>
          <w:rStyle w:val="normaltextrun"/>
          <w:rFonts w:cstheme="minorHAnsi"/>
        </w:rPr>
        <w:t xml:space="preserve">, the grade boundaries will be adjusted to reflect that level of </w:t>
      </w:r>
      <w:r w:rsidR="006804BA">
        <w:rPr>
          <w:rStyle w:val="normaltextrun"/>
          <w:rFonts w:cstheme="minorHAnsi"/>
        </w:rPr>
        <w:t>difficulty</w:t>
      </w:r>
      <w:r w:rsidR="00441211">
        <w:rPr>
          <w:rStyle w:val="normaltextrun"/>
          <w:rFonts w:cstheme="minorHAnsi"/>
        </w:rPr>
        <w:t xml:space="preserve"> </w:t>
      </w:r>
      <w:r w:rsidR="00441211" w:rsidRPr="00EB3CA7">
        <w:rPr>
          <w:rStyle w:val="normaltextrun"/>
          <w:rFonts w:cstheme="minorHAnsi"/>
        </w:rPr>
        <w:t>to ensure that an A this year is equivalent to an A in previous years</w:t>
      </w:r>
      <w:r w:rsidR="00496ECA">
        <w:rPr>
          <w:rStyle w:val="normaltextrun"/>
          <w:rFonts w:cstheme="minorHAnsi"/>
        </w:rPr>
        <w:t xml:space="preserve"> for the level of performance and</w:t>
      </w:r>
      <w:r w:rsidR="00441211" w:rsidRPr="00EB3CA7">
        <w:rPr>
          <w:rStyle w:val="normaltextrun"/>
          <w:rFonts w:cstheme="minorHAnsi"/>
        </w:rPr>
        <w:t xml:space="preserve"> for the purposes of fairness</w:t>
      </w:r>
      <w:r w:rsidR="000F22F0" w:rsidRPr="00EB3CA7">
        <w:rPr>
          <w:rStyle w:val="normaltextrun"/>
          <w:rFonts w:cstheme="minorHAnsi"/>
        </w:rPr>
        <w:t>.</w:t>
      </w:r>
      <w:r w:rsidR="00441211" w:rsidRPr="00EB3CA7">
        <w:rPr>
          <w:rStyle w:val="normaltextrun"/>
          <w:rFonts w:cstheme="minorHAnsi"/>
        </w:rPr>
        <w:t xml:space="preserve">   </w:t>
      </w:r>
      <w:bookmarkStart w:id="0" w:name="_Hlk75449646"/>
      <w:r w:rsidR="00441211" w:rsidRPr="00EB3CA7">
        <w:rPr>
          <w:rStyle w:val="normaltextrun"/>
          <w:rFonts w:cstheme="minorHAnsi"/>
        </w:rPr>
        <w:t xml:space="preserve">The purpose of providing grades is for end users to </w:t>
      </w:r>
      <w:r w:rsidR="00F57A4B" w:rsidRPr="00EB3CA7">
        <w:rPr>
          <w:rStyle w:val="normaltextrun"/>
          <w:rFonts w:cstheme="minorHAnsi"/>
        </w:rPr>
        <w:t>be able to interpret those results and make decisions about them for various purposes.   With norm referencing this is very difficult</w:t>
      </w:r>
      <w:r w:rsidR="00496ECA">
        <w:rPr>
          <w:rStyle w:val="normaltextrun"/>
          <w:rFonts w:cstheme="minorHAnsi"/>
        </w:rPr>
        <w:t xml:space="preserve"> to justify from a fairness point of view across cohorts – because it focuses on the same proportions of outcomes, rather than on same attainment. </w:t>
      </w:r>
    </w:p>
    <w:bookmarkEnd w:id="0"/>
    <w:p w14:paraId="73307D76" w14:textId="4F11647E" w:rsidR="003804A3" w:rsidRPr="005F3206" w:rsidRDefault="003804A3" w:rsidP="003804A3">
      <w:pPr>
        <w:rPr>
          <w:rStyle w:val="normaltextrun"/>
          <w:rFonts w:cstheme="minorHAnsi"/>
          <w:color w:val="000000"/>
          <w:shd w:val="clear" w:color="auto" w:fill="FFFFFF"/>
        </w:rPr>
      </w:pPr>
      <w:r>
        <w:rPr>
          <w:rFonts w:cstheme="minorHAnsi"/>
          <w:color w:val="000000"/>
          <w:shd w:val="clear" w:color="auto" w:fill="FFFFFF"/>
        </w:rPr>
        <w:t xml:space="preserve">Each </w:t>
      </w:r>
      <w:r w:rsidR="001562BE">
        <w:rPr>
          <w:rFonts w:cstheme="minorHAnsi"/>
          <w:color w:val="000000"/>
          <w:shd w:val="clear" w:color="auto" w:fill="FFFFFF"/>
        </w:rPr>
        <w:t>Awarding</w:t>
      </w:r>
      <w:r>
        <w:rPr>
          <w:rFonts w:cstheme="minorHAnsi"/>
          <w:color w:val="000000"/>
          <w:shd w:val="clear" w:color="auto" w:fill="FFFFFF"/>
        </w:rPr>
        <w:t xml:space="preserve"> Panel meeting is also </w:t>
      </w:r>
      <w:r w:rsidRPr="005F3206">
        <w:rPr>
          <w:rFonts w:cstheme="minorHAnsi"/>
          <w:color w:val="000000"/>
          <w:shd w:val="clear" w:color="auto" w:fill="FFFFFF"/>
        </w:rPr>
        <w:t>provided with a statistical information pack which contains summary information on the cohort of candidates sitting the assessment and includes</w:t>
      </w:r>
      <w:r w:rsidRPr="005F3206">
        <w:rPr>
          <w:rStyle w:val="normaltextrun"/>
          <w:rFonts w:cstheme="minorHAnsi"/>
          <w:color w:val="000000"/>
          <w:shd w:val="clear" w:color="auto" w:fill="FFFFFF"/>
        </w:rPr>
        <w:t xml:space="preserve"> a broad overview of candidate performance (in terms of marks achieved). This data </w:t>
      </w:r>
      <w:r w:rsidR="001562BE" w:rsidRPr="00EB3CA7">
        <w:rPr>
          <w:rStyle w:val="normaltextrun"/>
          <w:rFonts w:cstheme="minorHAnsi"/>
          <w:color w:val="000000"/>
          <w:shd w:val="clear" w:color="auto" w:fill="FFFFFF"/>
        </w:rPr>
        <w:t>c</w:t>
      </w:r>
      <w:r w:rsidRPr="00EB3CA7">
        <w:rPr>
          <w:rStyle w:val="normaltextrun"/>
          <w:rFonts w:cstheme="minorHAnsi"/>
          <w:color w:val="000000"/>
          <w:shd w:val="clear" w:color="auto" w:fill="FFFFFF"/>
        </w:rPr>
        <w:t>ould</w:t>
      </w:r>
      <w:r w:rsidRPr="005F3206">
        <w:rPr>
          <w:rStyle w:val="normaltextrun"/>
          <w:rFonts w:cstheme="minorHAnsi"/>
          <w:color w:val="000000"/>
          <w:shd w:val="clear" w:color="auto" w:fill="FFFFFF"/>
        </w:rPr>
        <w:t xml:space="preserve"> highlight any unexpected performance which may need to be discussed further. </w:t>
      </w:r>
    </w:p>
    <w:p w14:paraId="6C2EB9F4" w14:textId="77777777" w:rsidR="002B4F61" w:rsidRDefault="000A06BE" w:rsidP="00511119">
      <w:pPr>
        <w:rPr>
          <w:rStyle w:val="normaltextrun"/>
          <w:rFonts w:cstheme="minorHAnsi"/>
          <w:color w:val="000000"/>
          <w:shd w:val="clear" w:color="auto" w:fill="FFFFFF"/>
        </w:rPr>
      </w:pPr>
      <w:r>
        <w:rPr>
          <w:rStyle w:val="normaltextrun"/>
          <w:rFonts w:cstheme="minorHAnsi"/>
          <w:color w:val="000000"/>
          <w:shd w:val="clear" w:color="auto" w:fill="FFFFFF"/>
        </w:rPr>
        <w:t xml:space="preserve">Analysis of this data </w:t>
      </w:r>
      <w:r w:rsidR="000F22F0" w:rsidRPr="005F3206">
        <w:rPr>
          <w:rStyle w:val="normaltextrun"/>
          <w:rFonts w:cstheme="minorHAnsi"/>
          <w:color w:val="000000"/>
          <w:shd w:val="clear" w:color="auto" w:fill="FFFFFF"/>
        </w:rPr>
        <w:t xml:space="preserve">is primarily provided </w:t>
      </w:r>
      <w:r w:rsidR="00E55954">
        <w:rPr>
          <w:rStyle w:val="normaltextrun"/>
          <w:rFonts w:cstheme="minorHAnsi"/>
          <w:color w:val="000000"/>
          <w:shd w:val="clear" w:color="auto" w:fill="FFFFFF"/>
        </w:rPr>
        <w:t xml:space="preserve">by </w:t>
      </w:r>
      <w:r w:rsidR="000F22F0" w:rsidRPr="005F3206">
        <w:rPr>
          <w:rStyle w:val="normaltextrun"/>
          <w:rFonts w:cstheme="minorHAnsi"/>
          <w:color w:val="000000"/>
          <w:shd w:val="clear" w:color="auto" w:fill="FFFFFF"/>
        </w:rPr>
        <w:t>the </w:t>
      </w:r>
      <w:r w:rsidR="009D538A">
        <w:rPr>
          <w:rStyle w:val="normaltextrun"/>
          <w:rFonts w:cstheme="minorHAnsi"/>
          <w:color w:val="000000"/>
          <w:shd w:val="clear" w:color="auto" w:fill="FFFFFF"/>
        </w:rPr>
        <w:t>P</w:t>
      </w:r>
      <w:r w:rsidR="000F22F0" w:rsidRPr="005F3206">
        <w:rPr>
          <w:rStyle w:val="normaltextrun"/>
          <w:rFonts w:cstheme="minorHAnsi"/>
          <w:color w:val="000000"/>
          <w:shd w:val="clear" w:color="auto" w:fill="FFFFFF"/>
        </w:rPr>
        <w:t>rincipal </w:t>
      </w:r>
      <w:r w:rsidR="009D538A">
        <w:rPr>
          <w:rStyle w:val="normaltextrun"/>
          <w:rFonts w:cstheme="minorHAnsi"/>
          <w:color w:val="000000"/>
          <w:shd w:val="clear" w:color="auto" w:fill="FFFFFF"/>
        </w:rPr>
        <w:t>A</w:t>
      </w:r>
      <w:r w:rsidR="000F22F0" w:rsidRPr="005F3206">
        <w:rPr>
          <w:rStyle w:val="normaltextrun"/>
          <w:rFonts w:cstheme="minorHAnsi"/>
          <w:color w:val="000000"/>
          <w:shd w:val="clear" w:color="auto" w:fill="FFFFFF"/>
        </w:rPr>
        <w:t>ssessor for the course</w:t>
      </w:r>
      <w:r>
        <w:rPr>
          <w:rStyle w:val="normaltextrun"/>
          <w:rFonts w:cstheme="minorHAnsi"/>
          <w:color w:val="000000"/>
          <w:shd w:val="clear" w:color="auto" w:fill="FFFFFF"/>
        </w:rPr>
        <w:t xml:space="preserve"> supported by SQA’s Statisticians</w:t>
      </w:r>
      <w:r w:rsidR="00D942A8">
        <w:rPr>
          <w:rStyle w:val="normaltextrun"/>
          <w:rFonts w:cstheme="minorHAnsi"/>
          <w:color w:val="000000"/>
          <w:shd w:val="clear" w:color="auto" w:fill="FFFFFF"/>
        </w:rPr>
        <w:t xml:space="preserve">. The Principal Assessor uses their </w:t>
      </w:r>
      <w:r w:rsidR="000F22F0" w:rsidRPr="005F3206">
        <w:rPr>
          <w:rStyle w:val="normaltextrun"/>
          <w:rFonts w:cstheme="minorHAnsi"/>
          <w:color w:val="000000"/>
          <w:shd w:val="clear" w:color="auto" w:fill="FFFFFF"/>
        </w:rPr>
        <w:t>professional judgement</w:t>
      </w:r>
      <w:r w:rsidR="009D538A">
        <w:rPr>
          <w:rStyle w:val="normaltextrun"/>
          <w:rFonts w:cstheme="minorHAnsi"/>
          <w:color w:val="000000"/>
          <w:shd w:val="clear" w:color="auto" w:fill="FFFFFF"/>
        </w:rPr>
        <w:t xml:space="preserve"> and experience</w:t>
      </w:r>
      <w:r w:rsidR="000F22F0" w:rsidRPr="005F3206">
        <w:rPr>
          <w:rStyle w:val="normaltextrun"/>
          <w:rFonts w:cstheme="minorHAnsi"/>
          <w:color w:val="000000"/>
          <w:shd w:val="clear" w:color="auto" w:fill="FFFFFF"/>
        </w:rPr>
        <w:t xml:space="preserve">, along with that of the other members of the awarding meeting, </w:t>
      </w:r>
      <w:r w:rsidR="00D942A8">
        <w:rPr>
          <w:rStyle w:val="normaltextrun"/>
          <w:rFonts w:cstheme="minorHAnsi"/>
          <w:color w:val="000000"/>
          <w:shd w:val="clear" w:color="auto" w:fill="FFFFFF"/>
        </w:rPr>
        <w:t xml:space="preserve">to </w:t>
      </w:r>
      <w:r w:rsidR="000F22F0" w:rsidRPr="005F3206">
        <w:rPr>
          <w:rStyle w:val="normaltextrun"/>
          <w:rFonts w:cstheme="minorHAnsi"/>
          <w:color w:val="000000"/>
          <w:shd w:val="clear" w:color="auto" w:fill="FFFFFF"/>
        </w:rPr>
        <w:t>determine how the assessment instrument has performed</w:t>
      </w:r>
      <w:r w:rsidR="009D538A">
        <w:rPr>
          <w:rStyle w:val="normaltextrun"/>
          <w:rFonts w:cstheme="minorHAnsi"/>
          <w:color w:val="000000"/>
          <w:shd w:val="clear" w:color="auto" w:fill="FFFFFF"/>
        </w:rPr>
        <w:t xml:space="preserve"> in relation to the intended difficulty</w:t>
      </w:r>
      <w:r w:rsidR="000F22F0" w:rsidRPr="005F3206">
        <w:rPr>
          <w:rStyle w:val="normaltextrun"/>
          <w:rFonts w:cstheme="minorHAnsi"/>
          <w:color w:val="000000"/>
          <w:shd w:val="clear" w:color="auto" w:fill="FFFFFF"/>
        </w:rPr>
        <w:t>. </w:t>
      </w:r>
    </w:p>
    <w:p w14:paraId="235E7C10" w14:textId="565378CE" w:rsidR="00511119" w:rsidRPr="002B4F61" w:rsidRDefault="002B4F61" w:rsidP="00511119">
      <w:pPr>
        <w:rPr>
          <w:rFonts w:cstheme="minorHAnsi"/>
          <w:color w:val="000000"/>
          <w:shd w:val="clear" w:color="auto" w:fill="FFFFFF"/>
        </w:rPr>
      </w:pPr>
      <w:r>
        <w:rPr>
          <w:rStyle w:val="normaltextrun"/>
          <w:rFonts w:cstheme="minorHAnsi"/>
          <w:color w:val="000000"/>
          <w:shd w:val="clear" w:color="auto" w:fill="FFFFFF"/>
        </w:rPr>
        <w:t>T</w:t>
      </w:r>
      <w:r w:rsidR="00511119" w:rsidRPr="005F3206">
        <w:rPr>
          <w:rFonts w:cstheme="minorHAnsi"/>
        </w:rPr>
        <w:t xml:space="preserve">he </w:t>
      </w:r>
      <w:r w:rsidR="00511119">
        <w:rPr>
          <w:rFonts w:cstheme="minorHAnsi"/>
        </w:rPr>
        <w:t xml:space="preserve">other </w:t>
      </w:r>
      <w:r w:rsidR="00511119" w:rsidRPr="005F3206">
        <w:rPr>
          <w:rFonts w:cstheme="minorHAnsi"/>
        </w:rPr>
        <w:t xml:space="preserve">key statistical information which SQA uses to judge assessment performance for each subject and level contains information such as the average mark nationally for each assessment component.   The Awarding </w:t>
      </w:r>
      <w:r w:rsidR="005908F8">
        <w:rPr>
          <w:rFonts w:cstheme="minorHAnsi"/>
        </w:rPr>
        <w:t xml:space="preserve">Panel </w:t>
      </w:r>
      <w:r w:rsidR="00511119" w:rsidRPr="005F3206">
        <w:rPr>
          <w:rFonts w:cstheme="minorHAnsi"/>
        </w:rPr>
        <w:t>Meeting will also look at a statistical item analysis of the performance of each question</w:t>
      </w:r>
      <w:r w:rsidR="00511119">
        <w:rPr>
          <w:rFonts w:cstheme="minorHAnsi"/>
        </w:rPr>
        <w:t xml:space="preserve"> where this is available</w:t>
      </w:r>
      <w:r w:rsidR="00511119" w:rsidRPr="005F3206">
        <w:rPr>
          <w:rFonts w:cstheme="minorHAnsi"/>
        </w:rPr>
        <w:t xml:space="preserve">.  </w:t>
      </w:r>
    </w:p>
    <w:p w14:paraId="35C0E2FB" w14:textId="57A0A4B9" w:rsidR="00072CF5" w:rsidRPr="005F3206" w:rsidRDefault="000F22F0" w:rsidP="00BE37A0">
      <w:pPr>
        <w:rPr>
          <w:rStyle w:val="normaltextrun"/>
          <w:rFonts w:cstheme="minorHAnsi"/>
          <w:color w:val="000000"/>
          <w:shd w:val="clear" w:color="auto" w:fill="FFFFFF"/>
        </w:rPr>
      </w:pPr>
      <w:proofErr w:type="gramStart"/>
      <w:r w:rsidRPr="005F3206">
        <w:rPr>
          <w:rFonts w:cstheme="minorHAnsi"/>
          <w:color w:val="000000"/>
          <w:shd w:val="clear" w:color="auto" w:fill="FFFFFF"/>
        </w:rPr>
        <w:lastRenderedPageBreak/>
        <w:t>A</w:t>
      </w:r>
      <w:r w:rsidR="00511119">
        <w:rPr>
          <w:rFonts w:cstheme="minorHAnsi"/>
          <w:color w:val="000000"/>
          <w:shd w:val="clear" w:color="auto" w:fill="FFFFFF"/>
        </w:rPr>
        <w:t>lso</w:t>
      </w:r>
      <w:proofErr w:type="gramEnd"/>
      <w:r w:rsidR="00511119">
        <w:rPr>
          <w:rFonts w:cstheme="minorHAnsi"/>
          <w:color w:val="000000"/>
          <w:shd w:val="clear" w:color="auto" w:fill="FFFFFF"/>
        </w:rPr>
        <w:t xml:space="preserve"> a</w:t>
      </w:r>
      <w:r w:rsidRPr="005F3206">
        <w:rPr>
          <w:rFonts w:cstheme="minorHAnsi"/>
          <w:color w:val="000000"/>
          <w:shd w:val="clear" w:color="auto" w:fill="FFFFFF"/>
        </w:rPr>
        <w:t xml:space="preserve"> variety of </w:t>
      </w:r>
      <w:r w:rsidR="00381AD4">
        <w:rPr>
          <w:rFonts w:cstheme="minorHAnsi"/>
          <w:color w:val="000000"/>
          <w:shd w:val="clear" w:color="auto" w:fill="FFFFFF"/>
        </w:rPr>
        <w:t xml:space="preserve">other </w:t>
      </w:r>
      <w:r w:rsidRPr="005F3206">
        <w:rPr>
          <w:rFonts w:cstheme="minorHAnsi"/>
          <w:color w:val="000000"/>
          <w:shd w:val="clear" w:color="auto" w:fill="FFFFFF"/>
        </w:rPr>
        <w:t>sources of information are used</w:t>
      </w:r>
      <w:r w:rsidR="009672A9">
        <w:rPr>
          <w:rFonts w:cstheme="minorHAnsi"/>
          <w:color w:val="000000"/>
          <w:shd w:val="clear" w:color="auto" w:fill="FFFFFF"/>
        </w:rPr>
        <w:t xml:space="preserve"> in Panel meetings</w:t>
      </w:r>
      <w:r w:rsidRPr="005F3206">
        <w:rPr>
          <w:rFonts w:cstheme="minorHAnsi"/>
          <w:color w:val="000000"/>
          <w:shd w:val="clear" w:color="auto" w:fill="FFFFFF"/>
        </w:rPr>
        <w:t xml:space="preserve"> to explore assessment issues</w:t>
      </w:r>
      <w:r w:rsidR="009672A9">
        <w:rPr>
          <w:rFonts w:cstheme="minorHAnsi"/>
          <w:color w:val="000000"/>
          <w:shd w:val="clear" w:color="auto" w:fill="FFFFFF"/>
        </w:rPr>
        <w:t xml:space="preserve"> and </w:t>
      </w:r>
      <w:r w:rsidR="008B61C9">
        <w:rPr>
          <w:rFonts w:cstheme="minorHAnsi"/>
          <w:color w:val="000000"/>
          <w:shd w:val="clear" w:color="auto" w:fill="FFFFFF"/>
        </w:rPr>
        <w:t xml:space="preserve">possible </w:t>
      </w:r>
      <w:r w:rsidRPr="005F3206">
        <w:rPr>
          <w:rFonts w:cstheme="minorHAnsi"/>
          <w:color w:val="000000"/>
          <w:shd w:val="clear" w:color="auto" w:fill="FFFFFF"/>
        </w:rPr>
        <w:t>grade distributions</w:t>
      </w:r>
      <w:r w:rsidR="00C33B64" w:rsidRPr="005F3206">
        <w:rPr>
          <w:rFonts w:cstheme="minorHAnsi"/>
          <w:color w:val="000000"/>
          <w:shd w:val="clear" w:color="auto" w:fill="FFFFFF"/>
        </w:rPr>
        <w:t xml:space="preserve">, </w:t>
      </w:r>
      <w:r w:rsidR="001D1DFB" w:rsidRPr="005F3206">
        <w:rPr>
          <w:rFonts w:cstheme="minorHAnsi"/>
          <w:color w:val="000000"/>
          <w:shd w:val="clear" w:color="auto" w:fill="FFFFFF"/>
        </w:rPr>
        <w:t>and</w:t>
      </w:r>
      <w:r w:rsidR="00C33B64" w:rsidRPr="005F3206">
        <w:rPr>
          <w:rFonts w:cstheme="minorHAnsi"/>
          <w:color w:val="000000"/>
          <w:shd w:val="clear" w:color="auto" w:fill="FFFFFF"/>
        </w:rPr>
        <w:t xml:space="preserve"> to support the decision-making process</w:t>
      </w:r>
      <w:r w:rsidRPr="005F3206">
        <w:rPr>
          <w:rFonts w:cstheme="minorHAnsi"/>
          <w:color w:val="000000"/>
          <w:shd w:val="clear" w:color="auto" w:fill="FFFFFF"/>
        </w:rPr>
        <w:t xml:space="preserve">. </w:t>
      </w:r>
      <w:r w:rsidR="00183C0D">
        <w:rPr>
          <w:rFonts w:cstheme="minorHAnsi"/>
          <w:color w:val="000000"/>
          <w:shd w:val="clear" w:color="auto" w:fill="FFFFFF"/>
        </w:rPr>
        <w:t xml:space="preserve">This includes information on the intentions of the Principal Assessor </w:t>
      </w:r>
      <w:r w:rsidR="00292807">
        <w:rPr>
          <w:rFonts w:cstheme="minorHAnsi"/>
          <w:color w:val="000000"/>
          <w:shd w:val="clear" w:color="auto" w:fill="FFFFFF"/>
        </w:rPr>
        <w:t>in setting the assessments (</w:t>
      </w:r>
      <w:proofErr w:type="gramStart"/>
      <w:r w:rsidR="00292807">
        <w:rPr>
          <w:rFonts w:cstheme="minorHAnsi"/>
          <w:color w:val="000000"/>
          <w:shd w:val="clear" w:color="auto" w:fill="FFFFFF"/>
        </w:rPr>
        <w:t>e.g.</w:t>
      </w:r>
      <w:proofErr w:type="gramEnd"/>
      <w:r w:rsidR="00292807">
        <w:rPr>
          <w:rFonts w:cstheme="minorHAnsi"/>
          <w:color w:val="000000"/>
          <w:shd w:val="clear" w:color="auto" w:fill="FFFFFF"/>
        </w:rPr>
        <w:t xml:space="preserve"> whether they were seeking to set them at the same level of difficulty as in previous years or to make adjustments to reflect any issues noted in previous years’ assessments)</w:t>
      </w:r>
      <w:r w:rsidR="00B90216">
        <w:rPr>
          <w:rFonts w:cstheme="minorHAnsi"/>
          <w:color w:val="000000"/>
          <w:shd w:val="clear" w:color="auto" w:fill="FFFFFF"/>
        </w:rPr>
        <w:t xml:space="preserve"> and on any changes in the approach to or personnel involved in setting and/or marking the assessments</w:t>
      </w:r>
      <w:r w:rsidR="00BE37A0" w:rsidRPr="005F3206">
        <w:rPr>
          <w:rFonts w:cstheme="minorHAnsi"/>
          <w:color w:val="000000"/>
          <w:shd w:val="clear" w:color="auto" w:fill="FFFFFF"/>
        </w:rPr>
        <w:t xml:space="preserve">. </w:t>
      </w:r>
      <w:r w:rsidR="00090213">
        <w:rPr>
          <w:rFonts w:cstheme="minorHAnsi"/>
          <w:color w:val="000000"/>
          <w:shd w:val="clear" w:color="auto" w:fill="FFFFFF"/>
        </w:rPr>
        <w:t xml:space="preserve">In some </w:t>
      </w:r>
      <w:proofErr w:type="gramStart"/>
      <w:r w:rsidR="00090213">
        <w:rPr>
          <w:rFonts w:cstheme="minorHAnsi"/>
          <w:color w:val="000000"/>
          <w:shd w:val="clear" w:color="auto" w:fill="FFFFFF"/>
        </w:rPr>
        <w:t>cases</w:t>
      </w:r>
      <w:proofErr w:type="gramEnd"/>
      <w:r w:rsidR="00090213">
        <w:rPr>
          <w:rFonts w:cstheme="minorHAnsi"/>
          <w:color w:val="000000"/>
          <w:shd w:val="clear" w:color="auto" w:fill="FFFFFF"/>
        </w:rPr>
        <w:t xml:space="preserve"> a</w:t>
      </w:r>
      <w:r w:rsidR="00BE37A0" w:rsidRPr="005F3206">
        <w:rPr>
          <w:rFonts w:cstheme="minorHAnsi"/>
          <w:color w:val="000000"/>
          <w:shd w:val="clear" w:color="auto" w:fill="FFFFFF"/>
        </w:rPr>
        <w:t xml:space="preserve"> script scrutiny process is used to review samples of work from candidates</w:t>
      </w:r>
      <w:r w:rsidR="00090213">
        <w:rPr>
          <w:rFonts w:cstheme="minorHAnsi"/>
          <w:color w:val="000000"/>
          <w:shd w:val="clear" w:color="auto" w:fill="FFFFFF"/>
        </w:rPr>
        <w:t xml:space="preserve"> to inform the decision making process</w:t>
      </w:r>
      <w:r w:rsidR="00BE37A0" w:rsidRPr="005F3206">
        <w:rPr>
          <w:rFonts w:cstheme="minorHAnsi"/>
          <w:color w:val="000000"/>
          <w:shd w:val="clear" w:color="auto" w:fill="FFFFFF"/>
        </w:rPr>
        <w:t xml:space="preserve">. </w:t>
      </w:r>
    </w:p>
    <w:p w14:paraId="78F73E11" w14:textId="0235A924" w:rsidR="00BE37A0" w:rsidRPr="005F3206" w:rsidRDefault="005E1843" w:rsidP="40986C69">
      <w:pPr>
        <w:pStyle w:val="paragraph"/>
        <w:spacing w:before="0" w:beforeAutospacing="0" w:after="0" w:afterAutospacing="0"/>
        <w:textAlignment w:val="baseline"/>
        <w:rPr>
          <w:rFonts w:asciiTheme="minorHAnsi" w:eastAsia="Arial" w:hAnsiTheme="minorHAnsi" w:cstheme="minorHAnsi"/>
          <w:color w:val="000000" w:themeColor="text1"/>
          <w:sz w:val="22"/>
          <w:szCs w:val="22"/>
        </w:rPr>
      </w:pPr>
      <w:r w:rsidRPr="005F3206">
        <w:rPr>
          <w:rFonts w:asciiTheme="minorHAnsi" w:hAnsiTheme="minorHAnsi" w:cstheme="minorHAnsi"/>
          <w:color w:val="000000"/>
          <w:sz w:val="22"/>
          <w:szCs w:val="22"/>
          <w:shd w:val="clear" w:color="auto" w:fill="FFFFFF"/>
        </w:rPr>
        <w:t>G</w:t>
      </w:r>
      <w:r w:rsidR="00BE37A0" w:rsidRPr="005F3206">
        <w:rPr>
          <w:rFonts w:asciiTheme="minorHAnsi" w:hAnsiTheme="minorHAnsi" w:cstheme="minorHAnsi"/>
          <w:color w:val="000000"/>
          <w:sz w:val="22"/>
          <w:szCs w:val="22"/>
          <w:shd w:val="clear" w:color="auto" w:fill="FFFFFF"/>
        </w:rPr>
        <w:t>rade boundary decision making is based on the professional judgement made on the d</w:t>
      </w:r>
      <w:r w:rsidR="00A16D11">
        <w:rPr>
          <w:rFonts w:asciiTheme="minorHAnsi" w:hAnsiTheme="minorHAnsi" w:cstheme="minorHAnsi"/>
          <w:color w:val="000000"/>
          <w:sz w:val="22"/>
          <w:szCs w:val="22"/>
          <w:shd w:val="clear" w:color="auto" w:fill="FFFFFF"/>
        </w:rPr>
        <w:t xml:space="preserve">ifficulty </w:t>
      </w:r>
      <w:r w:rsidR="00BE37A0" w:rsidRPr="005F3206">
        <w:rPr>
          <w:rFonts w:asciiTheme="minorHAnsi" w:hAnsiTheme="minorHAnsi" w:cstheme="minorHAnsi"/>
          <w:color w:val="000000"/>
          <w:sz w:val="22"/>
          <w:szCs w:val="22"/>
          <w:shd w:val="clear" w:color="auto" w:fill="FFFFFF"/>
        </w:rPr>
        <w:t>of the assessment instrument</w:t>
      </w:r>
      <w:r w:rsidRPr="005F3206">
        <w:rPr>
          <w:rFonts w:asciiTheme="minorHAnsi" w:hAnsiTheme="minorHAnsi" w:cstheme="minorHAnsi"/>
          <w:color w:val="000000"/>
          <w:sz w:val="22"/>
          <w:szCs w:val="22"/>
          <w:shd w:val="clear" w:color="auto" w:fill="FFFFFF"/>
        </w:rPr>
        <w:t>.</w:t>
      </w:r>
      <w:r w:rsidR="1A9FD2C6" w:rsidRPr="005F3206">
        <w:rPr>
          <w:rFonts w:asciiTheme="minorHAnsi" w:hAnsiTheme="minorHAnsi" w:cstheme="minorHAnsi"/>
          <w:color w:val="000000"/>
          <w:sz w:val="22"/>
          <w:szCs w:val="22"/>
          <w:shd w:val="clear" w:color="auto" w:fill="FFFFFF"/>
        </w:rPr>
        <w:t xml:space="preserve"> </w:t>
      </w:r>
      <w:r w:rsidR="1A9FD2C6" w:rsidRPr="005F3206">
        <w:rPr>
          <w:rFonts w:asciiTheme="minorHAnsi" w:hAnsiTheme="minorHAnsi" w:cstheme="minorHAnsi"/>
          <w:color w:val="000000" w:themeColor="text1"/>
          <w:sz w:val="22"/>
          <w:szCs w:val="22"/>
        </w:rPr>
        <w:t xml:space="preserve">If the </w:t>
      </w:r>
      <w:r w:rsidR="00A16D11">
        <w:rPr>
          <w:rFonts w:asciiTheme="minorHAnsi" w:hAnsiTheme="minorHAnsi" w:cstheme="minorHAnsi"/>
          <w:color w:val="000000" w:themeColor="text1"/>
          <w:sz w:val="22"/>
          <w:szCs w:val="22"/>
        </w:rPr>
        <w:t>P</w:t>
      </w:r>
      <w:r w:rsidR="1A9FD2C6" w:rsidRPr="005F3206">
        <w:rPr>
          <w:rFonts w:asciiTheme="minorHAnsi" w:hAnsiTheme="minorHAnsi" w:cstheme="minorHAnsi"/>
          <w:color w:val="000000" w:themeColor="text1"/>
          <w:sz w:val="22"/>
          <w:szCs w:val="22"/>
        </w:rPr>
        <w:t>anel</w:t>
      </w:r>
      <w:r w:rsidR="004A6EB3">
        <w:rPr>
          <w:rFonts w:asciiTheme="minorHAnsi" w:hAnsiTheme="minorHAnsi" w:cstheme="minorHAnsi"/>
          <w:color w:val="000000" w:themeColor="text1"/>
          <w:sz w:val="22"/>
          <w:szCs w:val="22"/>
        </w:rPr>
        <w:t xml:space="preserve">, informed by the Principal Assessor, </w:t>
      </w:r>
      <w:r w:rsidR="1A9FD2C6" w:rsidRPr="005F3206">
        <w:rPr>
          <w:rFonts w:asciiTheme="minorHAnsi" w:hAnsiTheme="minorHAnsi" w:cstheme="minorHAnsi"/>
          <w:color w:val="000000" w:themeColor="text1"/>
          <w:sz w:val="22"/>
          <w:szCs w:val="22"/>
        </w:rPr>
        <w:t>de</w:t>
      </w:r>
      <w:r w:rsidR="40E3DE2E" w:rsidRPr="005F3206">
        <w:rPr>
          <w:rFonts w:asciiTheme="minorHAnsi" w:hAnsiTheme="minorHAnsi" w:cstheme="minorHAnsi"/>
          <w:color w:val="000000" w:themeColor="text1"/>
          <w:sz w:val="22"/>
          <w:szCs w:val="22"/>
        </w:rPr>
        <w:t>termines</w:t>
      </w:r>
      <w:r w:rsidR="1A9FD2C6" w:rsidRPr="005F3206">
        <w:rPr>
          <w:rFonts w:asciiTheme="minorHAnsi" w:hAnsiTheme="minorHAnsi" w:cstheme="minorHAnsi"/>
          <w:color w:val="000000" w:themeColor="text1"/>
          <w:sz w:val="22"/>
          <w:szCs w:val="22"/>
        </w:rPr>
        <w:t xml:space="preserve"> that the course assessment has functioned as intended, then the grade boundaries will be</w:t>
      </w:r>
      <w:r w:rsidR="00E5201B">
        <w:rPr>
          <w:rFonts w:asciiTheme="minorHAnsi" w:hAnsiTheme="minorHAnsi" w:cstheme="minorHAnsi"/>
          <w:color w:val="000000" w:themeColor="text1"/>
          <w:sz w:val="22"/>
          <w:szCs w:val="22"/>
        </w:rPr>
        <w:t xml:space="preserve"> broadly in line with the </w:t>
      </w:r>
      <w:r w:rsidR="00DD072C">
        <w:rPr>
          <w:rFonts w:asciiTheme="minorHAnsi" w:hAnsiTheme="minorHAnsi" w:cstheme="minorHAnsi"/>
          <w:color w:val="000000" w:themeColor="text1"/>
          <w:sz w:val="22"/>
          <w:szCs w:val="22"/>
        </w:rPr>
        <w:t>notional grade boundaries</w:t>
      </w:r>
      <w:r w:rsidR="1A9FD2C6" w:rsidRPr="005F3206">
        <w:rPr>
          <w:rFonts w:asciiTheme="minorHAnsi" w:hAnsiTheme="minorHAnsi" w:cstheme="minorHAnsi"/>
          <w:color w:val="000000" w:themeColor="text1"/>
          <w:sz w:val="22"/>
          <w:szCs w:val="22"/>
        </w:rPr>
        <w:t>, otherwise, the</w:t>
      </w:r>
      <w:r w:rsidR="00DD072C">
        <w:rPr>
          <w:rFonts w:asciiTheme="minorHAnsi" w:hAnsiTheme="minorHAnsi" w:cstheme="minorHAnsi"/>
          <w:color w:val="000000" w:themeColor="text1"/>
          <w:sz w:val="22"/>
          <w:szCs w:val="22"/>
        </w:rPr>
        <w:t>y</w:t>
      </w:r>
      <w:r w:rsidR="1A9FD2C6" w:rsidRPr="005F3206">
        <w:rPr>
          <w:rFonts w:asciiTheme="minorHAnsi" w:hAnsiTheme="minorHAnsi" w:cstheme="minorHAnsi"/>
          <w:color w:val="000000" w:themeColor="text1"/>
          <w:sz w:val="22"/>
          <w:szCs w:val="22"/>
        </w:rPr>
        <w:t xml:space="preserve"> will be adjusted to take account of the identified issues. The final decision on </w:t>
      </w:r>
      <w:r w:rsidR="00826D44">
        <w:rPr>
          <w:rFonts w:asciiTheme="minorHAnsi" w:hAnsiTheme="minorHAnsi" w:cstheme="minorHAnsi"/>
          <w:color w:val="000000" w:themeColor="text1"/>
          <w:sz w:val="22"/>
          <w:szCs w:val="22"/>
        </w:rPr>
        <w:t xml:space="preserve">the </w:t>
      </w:r>
      <w:r w:rsidR="1A9FD2C6" w:rsidRPr="005F3206">
        <w:rPr>
          <w:rFonts w:asciiTheme="minorHAnsi" w:hAnsiTheme="minorHAnsi" w:cstheme="minorHAnsi"/>
          <w:color w:val="000000" w:themeColor="text1"/>
          <w:sz w:val="22"/>
          <w:szCs w:val="22"/>
        </w:rPr>
        <w:t xml:space="preserve">grade boundaries </w:t>
      </w:r>
      <w:r w:rsidR="0991E8F8" w:rsidRPr="005F3206">
        <w:rPr>
          <w:rFonts w:asciiTheme="minorHAnsi" w:hAnsiTheme="minorHAnsi" w:cstheme="minorHAnsi"/>
          <w:color w:val="000000" w:themeColor="text1"/>
          <w:sz w:val="22"/>
          <w:szCs w:val="22"/>
        </w:rPr>
        <w:t>is</w:t>
      </w:r>
      <w:r w:rsidR="1A9FD2C6" w:rsidRPr="005F3206">
        <w:rPr>
          <w:rFonts w:asciiTheme="minorHAnsi" w:hAnsiTheme="minorHAnsi" w:cstheme="minorHAnsi"/>
          <w:color w:val="000000" w:themeColor="text1"/>
          <w:sz w:val="22"/>
          <w:szCs w:val="22"/>
        </w:rPr>
        <w:t xml:space="preserve"> </w:t>
      </w:r>
      <w:r w:rsidR="009B729A">
        <w:rPr>
          <w:rFonts w:asciiTheme="minorHAnsi" w:hAnsiTheme="minorHAnsi" w:cstheme="minorHAnsi"/>
          <w:color w:val="000000" w:themeColor="text1"/>
          <w:sz w:val="22"/>
          <w:szCs w:val="22"/>
        </w:rPr>
        <w:t xml:space="preserve">agreed and </w:t>
      </w:r>
      <w:r w:rsidR="1A9FD2C6" w:rsidRPr="005F3206">
        <w:rPr>
          <w:rFonts w:asciiTheme="minorHAnsi" w:hAnsiTheme="minorHAnsi" w:cstheme="minorHAnsi"/>
          <w:color w:val="000000" w:themeColor="text1"/>
          <w:sz w:val="22"/>
          <w:szCs w:val="22"/>
        </w:rPr>
        <w:t>signed off by the </w:t>
      </w:r>
      <w:r w:rsidR="00DD072C">
        <w:rPr>
          <w:rFonts w:asciiTheme="minorHAnsi" w:hAnsiTheme="minorHAnsi" w:cstheme="minorHAnsi"/>
          <w:color w:val="000000" w:themeColor="text1"/>
          <w:sz w:val="22"/>
          <w:szCs w:val="22"/>
        </w:rPr>
        <w:t>Panel C</w:t>
      </w:r>
      <w:r w:rsidR="1A9FD2C6" w:rsidRPr="005F3206">
        <w:rPr>
          <w:rFonts w:asciiTheme="minorHAnsi" w:hAnsiTheme="minorHAnsi" w:cstheme="minorHAnsi"/>
          <w:color w:val="000000" w:themeColor="text1"/>
          <w:sz w:val="22"/>
          <w:szCs w:val="22"/>
        </w:rPr>
        <w:t>hair and the </w:t>
      </w:r>
      <w:r w:rsidR="00DD072C">
        <w:rPr>
          <w:rFonts w:asciiTheme="minorHAnsi" w:hAnsiTheme="minorHAnsi" w:cstheme="minorHAnsi"/>
          <w:color w:val="000000" w:themeColor="text1"/>
          <w:sz w:val="22"/>
          <w:szCs w:val="22"/>
        </w:rPr>
        <w:t>P</w:t>
      </w:r>
      <w:r w:rsidR="1A9FD2C6" w:rsidRPr="005F3206">
        <w:rPr>
          <w:rFonts w:asciiTheme="minorHAnsi" w:hAnsiTheme="minorHAnsi" w:cstheme="minorHAnsi"/>
          <w:color w:val="000000" w:themeColor="text1"/>
          <w:sz w:val="22"/>
          <w:szCs w:val="22"/>
        </w:rPr>
        <w:t>rincipal </w:t>
      </w:r>
      <w:r w:rsidR="00DD072C">
        <w:rPr>
          <w:rFonts w:asciiTheme="minorHAnsi" w:hAnsiTheme="minorHAnsi" w:cstheme="minorHAnsi"/>
          <w:color w:val="000000" w:themeColor="text1"/>
          <w:sz w:val="22"/>
          <w:szCs w:val="22"/>
        </w:rPr>
        <w:t>A</w:t>
      </w:r>
      <w:r w:rsidR="1A9FD2C6" w:rsidRPr="005F3206">
        <w:rPr>
          <w:rFonts w:asciiTheme="minorHAnsi" w:hAnsiTheme="minorHAnsi" w:cstheme="minorHAnsi"/>
          <w:color w:val="000000" w:themeColor="text1"/>
          <w:sz w:val="22"/>
          <w:szCs w:val="22"/>
        </w:rPr>
        <w:t xml:space="preserve">ssessor. </w:t>
      </w:r>
      <w:r w:rsidR="009B729A">
        <w:rPr>
          <w:rFonts w:asciiTheme="minorHAnsi" w:hAnsiTheme="minorHAnsi" w:cstheme="minorHAnsi"/>
          <w:color w:val="000000" w:themeColor="text1"/>
          <w:sz w:val="22"/>
          <w:szCs w:val="22"/>
        </w:rPr>
        <w:t xml:space="preserve">Depending on the complexity of the issues raised </w:t>
      </w:r>
      <w:r w:rsidR="00541A66">
        <w:rPr>
          <w:rFonts w:asciiTheme="minorHAnsi" w:hAnsiTheme="minorHAnsi" w:cstheme="minorHAnsi"/>
          <w:color w:val="000000" w:themeColor="text1"/>
          <w:sz w:val="22"/>
          <w:szCs w:val="22"/>
        </w:rPr>
        <w:t xml:space="preserve">during </w:t>
      </w:r>
      <w:r w:rsidR="00AF4D9B">
        <w:rPr>
          <w:rFonts w:asciiTheme="minorHAnsi" w:hAnsiTheme="minorHAnsi" w:cstheme="minorHAnsi"/>
          <w:color w:val="000000" w:themeColor="text1"/>
          <w:sz w:val="22"/>
          <w:szCs w:val="22"/>
        </w:rPr>
        <w:t xml:space="preserve">Panel </w:t>
      </w:r>
      <w:r w:rsidR="00541A66">
        <w:rPr>
          <w:rFonts w:asciiTheme="minorHAnsi" w:hAnsiTheme="minorHAnsi" w:cstheme="minorHAnsi"/>
          <w:color w:val="000000" w:themeColor="text1"/>
          <w:sz w:val="22"/>
          <w:szCs w:val="22"/>
        </w:rPr>
        <w:t xml:space="preserve">meetings discussion can be protracted. </w:t>
      </w:r>
      <w:r w:rsidR="1A9FD2C6" w:rsidRPr="005F3206">
        <w:rPr>
          <w:rFonts w:asciiTheme="minorHAnsi" w:hAnsiTheme="minorHAnsi" w:cstheme="minorHAnsi"/>
          <w:color w:val="000000" w:themeColor="text1"/>
          <w:sz w:val="22"/>
          <w:szCs w:val="22"/>
        </w:rPr>
        <w:t xml:space="preserve">In the unlikely event that a decision cannot be made during the meeting, then an escalation process is in </w:t>
      </w:r>
      <w:r w:rsidR="1A9FD2C6" w:rsidRPr="005F3206">
        <w:rPr>
          <w:rFonts w:asciiTheme="minorHAnsi" w:eastAsia="Arial" w:hAnsiTheme="minorHAnsi" w:cstheme="minorHAnsi"/>
          <w:color w:val="000000" w:themeColor="text1"/>
          <w:sz w:val="22"/>
          <w:szCs w:val="22"/>
        </w:rPr>
        <w:t>place for members to follow. All decisions must be justified and be supported by information collected throughout the awarding procedure.</w:t>
      </w:r>
    </w:p>
    <w:p w14:paraId="6228A27E" w14:textId="126D2A08" w:rsidR="00BE37A0" w:rsidRPr="005F3206" w:rsidRDefault="00BE37A0" w:rsidP="40986C69">
      <w:pPr>
        <w:pStyle w:val="paragraph"/>
        <w:spacing w:before="0" w:beforeAutospacing="0" w:after="0" w:afterAutospacing="0"/>
        <w:textAlignment w:val="baseline"/>
        <w:rPr>
          <w:rFonts w:asciiTheme="minorHAnsi" w:eastAsia="Arial" w:hAnsiTheme="minorHAnsi" w:cstheme="minorHAnsi"/>
          <w:color w:val="000000" w:themeColor="text1"/>
          <w:sz w:val="22"/>
          <w:szCs w:val="22"/>
        </w:rPr>
      </w:pPr>
    </w:p>
    <w:p w14:paraId="438F4BB5" w14:textId="4ECC339C" w:rsidR="00BE37A0" w:rsidRPr="005F3206" w:rsidRDefault="1727E582" w:rsidP="40986C69">
      <w:pPr>
        <w:spacing w:after="0"/>
        <w:textAlignment w:val="baseline"/>
        <w:rPr>
          <w:rFonts w:eastAsia="Arial" w:cstheme="minorHAnsi"/>
          <w:color w:val="000000" w:themeColor="text1"/>
        </w:rPr>
      </w:pPr>
      <w:r w:rsidRPr="005F3206">
        <w:rPr>
          <w:rFonts w:eastAsia="Arial" w:cstheme="minorHAnsi"/>
          <w:color w:val="000000" w:themeColor="text1"/>
        </w:rPr>
        <w:t xml:space="preserve">The 2019 Grade Boundary tables can be accessed </w:t>
      </w:r>
      <w:hyperlink r:id="rId8">
        <w:r w:rsidRPr="005F3206">
          <w:rPr>
            <w:rStyle w:val="Hyperlink"/>
            <w:rFonts w:eastAsia="Arial" w:cstheme="minorHAnsi"/>
          </w:rPr>
          <w:t>here</w:t>
        </w:r>
      </w:hyperlink>
      <w:r w:rsidRPr="005F3206">
        <w:rPr>
          <w:rFonts w:eastAsia="Arial" w:cstheme="minorHAnsi"/>
          <w:color w:val="000000" w:themeColor="text1"/>
        </w:rPr>
        <w:t xml:space="preserve">. Select Grade Boundaries 2019 for a list of the marks for each grade boundary in 2019. Course Reports are produced each year. These are written up each year after the Awarding Meetings (details of these are provided in the document </w:t>
      </w:r>
      <w:hyperlink r:id="rId9">
        <w:r w:rsidRPr="005F3206">
          <w:rPr>
            <w:rStyle w:val="Hyperlink"/>
            <w:rFonts w:eastAsia="Arial" w:cstheme="minorHAnsi"/>
          </w:rPr>
          <w:t>A Guide to Setting Grade Boundaries</w:t>
        </w:r>
      </w:hyperlink>
      <w:r w:rsidRPr="005F3206">
        <w:rPr>
          <w:rFonts w:eastAsia="Arial" w:cstheme="minorHAnsi"/>
          <w:color w:val="000000" w:themeColor="text1"/>
        </w:rPr>
        <w:t xml:space="preserve"> which is referenced in your original request). The Course Report provides information on the performance of the year’s cohort and is provided as a guide for those who may be preparing candidates for future assessments in this subject.  Here is a link to the </w:t>
      </w:r>
      <w:hyperlink r:id="rId10">
        <w:r w:rsidRPr="005F3206">
          <w:rPr>
            <w:rStyle w:val="Hyperlink"/>
            <w:rFonts w:eastAsia="Arial" w:cstheme="minorHAnsi"/>
          </w:rPr>
          <w:t>Course Report</w:t>
        </w:r>
      </w:hyperlink>
      <w:r w:rsidRPr="005F3206">
        <w:rPr>
          <w:rFonts w:eastAsia="Arial" w:cstheme="minorHAnsi"/>
          <w:color w:val="000000" w:themeColor="text1"/>
        </w:rPr>
        <w:t xml:space="preserve"> for National 5 English in 2019.</w:t>
      </w:r>
      <w:r w:rsidR="4983D00D" w:rsidRPr="005F3206">
        <w:rPr>
          <w:rFonts w:eastAsia="Arial" w:cstheme="minorHAnsi"/>
          <w:color w:val="000000" w:themeColor="text1"/>
        </w:rPr>
        <w:t xml:space="preserve"> </w:t>
      </w:r>
      <w:r w:rsidRPr="005F3206">
        <w:rPr>
          <w:rFonts w:eastAsia="Arial" w:cstheme="minorHAnsi"/>
          <w:color w:val="000000" w:themeColor="text1"/>
        </w:rPr>
        <w:t xml:space="preserve">If you are interested in the Course Reports for other subjects here is a link to the </w:t>
      </w:r>
      <w:hyperlink r:id="rId11">
        <w:r w:rsidRPr="005F3206">
          <w:rPr>
            <w:rStyle w:val="Hyperlink"/>
            <w:rFonts w:eastAsia="Arial" w:cstheme="minorHAnsi"/>
          </w:rPr>
          <w:t>National Qualifications</w:t>
        </w:r>
      </w:hyperlink>
      <w:r w:rsidRPr="005F3206">
        <w:rPr>
          <w:rFonts w:eastAsia="Arial" w:cstheme="minorHAnsi"/>
          <w:color w:val="000000" w:themeColor="text1"/>
        </w:rPr>
        <w:t xml:space="preserve"> pages.</w:t>
      </w:r>
      <w:r w:rsidR="3EE0510B" w:rsidRPr="005F3206">
        <w:rPr>
          <w:rFonts w:eastAsia="Arial" w:cstheme="minorHAnsi"/>
          <w:color w:val="000000" w:themeColor="text1"/>
        </w:rPr>
        <w:t xml:space="preserve"> </w:t>
      </w:r>
      <w:r w:rsidRPr="005F3206">
        <w:rPr>
          <w:rFonts w:eastAsia="Arial" w:cstheme="minorHAnsi"/>
          <w:color w:val="000000" w:themeColor="text1"/>
        </w:rPr>
        <w:t>Select the subject and then the required level and the Course Report is listed on this page.</w:t>
      </w:r>
    </w:p>
    <w:p w14:paraId="1043EF10" w14:textId="1FB99438" w:rsidR="00BE37A0" w:rsidRPr="005F3206" w:rsidRDefault="00BE37A0" w:rsidP="40986C69">
      <w:pPr>
        <w:pStyle w:val="paragraph"/>
        <w:spacing w:before="0" w:beforeAutospacing="0" w:after="0" w:afterAutospacing="0"/>
        <w:textAlignment w:val="baseline"/>
        <w:rPr>
          <w:rFonts w:asciiTheme="minorHAnsi" w:hAnsiTheme="minorHAnsi" w:cstheme="minorHAnsi"/>
          <w:color w:val="000000" w:themeColor="text1"/>
          <w:sz w:val="22"/>
          <w:szCs w:val="22"/>
        </w:rPr>
      </w:pPr>
    </w:p>
    <w:p w14:paraId="1754B066" w14:textId="7FFF5D78" w:rsidR="00BE37A0" w:rsidRPr="005F3206" w:rsidRDefault="213B19DF" w:rsidP="40986C69">
      <w:pPr>
        <w:pStyle w:val="paragraph"/>
        <w:spacing w:before="0" w:beforeAutospacing="0" w:after="0" w:afterAutospacing="0"/>
        <w:textAlignment w:val="baseline"/>
        <w:rPr>
          <w:rFonts w:asciiTheme="minorHAnsi" w:hAnsiTheme="minorHAnsi" w:cstheme="minorHAnsi"/>
          <w:b/>
          <w:bCs/>
          <w:sz w:val="22"/>
          <w:szCs w:val="22"/>
        </w:rPr>
      </w:pPr>
      <w:r w:rsidRPr="005F3206">
        <w:rPr>
          <w:rFonts w:asciiTheme="minorHAnsi" w:hAnsiTheme="minorHAnsi" w:cstheme="minorHAnsi"/>
          <w:b/>
          <w:bCs/>
          <w:sz w:val="22"/>
          <w:szCs w:val="22"/>
        </w:rPr>
        <w:t xml:space="preserve">2) </w:t>
      </w:r>
      <w:r w:rsidR="005E1843" w:rsidRPr="005F3206">
        <w:rPr>
          <w:rFonts w:asciiTheme="minorHAnsi" w:hAnsiTheme="minorHAnsi" w:cstheme="minorHAnsi"/>
          <w:b/>
          <w:bCs/>
          <w:sz w:val="22"/>
          <w:szCs w:val="22"/>
        </w:rPr>
        <w:t>To answer why the annual percentage of the different grades (A to D) for each of the National 5, Higher, and Advanced Higher National Qualifications and across subjects is remarkably consistent year on year if norm referencing is not used?</w:t>
      </w:r>
    </w:p>
    <w:p w14:paraId="7E4F12BD" w14:textId="10FDC5CB" w:rsidR="00271399" w:rsidRPr="005F3206" w:rsidRDefault="00271399" w:rsidP="00271399">
      <w:pPr>
        <w:rPr>
          <w:rFonts w:cstheme="minorHAnsi"/>
        </w:rPr>
      </w:pPr>
      <w:r w:rsidRPr="005F3206">
        <w:rPr>
          <w:rFonts w:cstheme="minorHAnsi"/>
        </w:rPr>
        <w:t xml:space="preserve"> </w:t>
      </w:r>
    </w:p>
    <w:p w14:paraId="65C0C9A5" w14:textId="1B98DCEB" w:rsidR="00AF4D9B" w:rsidRPr="00AF4D9B" w:rsidRDefault="009C3CCE" w:rsidP="00AF4D9B">
      <w:pPr>
        <w:pStyle w:val="NormalWeb"/>
        <w:rPr>
          <w:rFonts w:asciiTheme="minorHAnsi" w:hAnsiTheme="minorHAnsi" w:cstheme="minorHAnsi"/>
          <w:sz w:val="22"/>
          <w:szCs w:val="22"/>
        </w:rPr>
      </w:pPr>
      <w:r w:rsidRPr="00AF4D9B">
        <w:rPr>
          <w:rFonts w:asciiTheme="minorHAnsi" w:hAnsiTheme="minorHAnsi" w:cstheme="minorHAnsi"/>
          <w:sz w:val="22"/>
          <w:szCs w:val="22"/>
        </w:rPr>
        <w:t xml:space="preserve">The </w:t>
      </w:r>
      <w:r w:rsidR="003E6280">
        <w:rPr>
          <w:rFonts w:asciiTheme="minorHAnsi" w:hAnsiTheme="minorHAnsi" w:cstheme="minorHAnsi"/>
          <w:sz w:val="22"/>
          <w:szCs w:val="22"/>
        </w:rPr>
        <w:t xml:space="preserve">consistency </w:t>
      </w:r>
      <w:r w:rsidR="008E6B4A">
        <w:rPr>
          <w:rFonts w:asciiTheme="minorHAnsi" w:hAnsiTheme="minorHAnsi" w:cstheme="minorHAnsi"/>
          <w:sz w:val="22"/>
          <w:szCs w:val="22"/>
        </w:rPr>
        <w:t xml:space="preserve">in </w:t>
      </w:r>
      <w:r w:rsidR="00583320">
        <w:rPr>
          <w:rFonts w:asciiTheme="minorHAnsi" w:hAnsiTheme="minorHAnsi" w:cstheme="minorHAnsi"/>
          <w:sz w:val="22"/>
          <w:szCs w:val="22"/>
        </w:rPr>
        <w:t xml:space="preserve">the </w:t>
      </w:r>
      <w:r w:rsidR="008E6B4A">
        <w:rPr>
          <w:rFonts w:asciiTheme="minorHAnsi" w:hAnsiTheme="minorHAnsi" w:cstheme="minorHAnsi"/>
          <w:sz w:val="22"/>
          <w:szCs w:val="22"/>
        </w:rPr>
        <w:t xml:space="preserve">annual percentage of grades awarded across subjects is achieved </w:t>
      </w:r>
      <w:r w:rsidR="00583320">
        <w:rPr>
          <w:rFonts w:asciiTheme="minorHAnsi" w:hAnsiTheme="minorHAnsi" w:cstheme="minorHAnsi"/>
          <w:sz w:val="22"/>
          <w:szCs w:val="22"/>
        </w:rPr>
        <w:t xml:space="preserve">using the approach outlined above. </w:t>
      </w:r>
      <w:r w:rsidRPr="00AF4D9B">
        <w:rPr>
          <w:rFonts w:asciiTheme="minorHAnsi" w:hAnsiTheme="minorHAnsi" w:cstheme="minorHAnsi"/>
          <w:sz w:val="22"/>
          <w:szCs w:val="22"/>
        </w:rPr>
        <w:t>SQA does not use a norm-referencing approach to setting and maintaining standards. Such an approach relies purely on statistical information when making decisions about grade boundaries</w:t>
      </w:r>
      <w:r w:rsidR="00F0189D">
        <w:rPr>
          <w:rFonts w:asciiTheme="minorHAnsi" w:hAnsiTheme="minorHAnsi" w:cstheme="minorHAnsi"/>
          <w:sz w:val="22"/>
          <w:szCs w:val="22"/>
        </w:rPr>
        <w:t xml:space="preserve"> w</w:t>
      </w:r>
      <w:r w:rsidR="00AF4D9B" w:rsidRPr="00AF4D9B">
        <w:rPr>
          <w:rStyle w:val="cf01"/>
          <w:rFonts w:asciiTheme="minorHAnsi" w:hAnsiTheme="minorHAnsi" w:cstheme="minorHAnsi"/>
          <w:sz w:val="22"/>
          <w:szCs w:val="22"/>
        </w:rPr>
        <w:t>ithout regard to performance of students in one year to previous years or the functioning of the assessment.</w:t>
      </w:r>
    </w:p>
    <w:p w14:paraId="4F0A408D" w14:textId="79B91C09" w:rsidR="009C3CCE" w:rsidRPr="005F3206" w:rsidRDefault="009C3CCE" w:rsidP="40986C69">
      <w:pPr>
        <w:rPr>
          <w:rFonts w:cstheme="minorHAnsi"/>
        </w:rPr>
      </w:pPr>
      <w:r w:rsidRPr="005F3206">
        <w:rPr>
          <w:rFonts w:cstheme="minorHAnsi"/>
        </w:rPr>
        <w:t xml:space="preserve">Instead, </w:t>
      </w:r>
      <w:r w:rsidR="00C13B02">
        <w:rPr>
          <w:rFonts w:cstheme="minorHAnsi"/>
        </w:rPr>
        <w:t xml:space="preserve">and as outlined above, </w:t>
      </w:r>
      <w:r w:rsidR="00FA5E9A" w:rsidRPr="005F3206">
        <w:rPr>
          <w:rFonts w:cstheme="minorHAnsi"/>
        </w:rPr>
        <w:t>our approach to</w:t>
      </w:r>
      <w:r w:rsidRPr="005F3206">
        <w:rPr>
          <w:rFonts w:cstheme="minorHAnsi"/>
        </w:rPr>
        <w:t xml:space="preserve"> </w:t>
      </w:r>
      <w:r w:rsidR="00FA5E9A" w:rsidRPr="005F3206">
        <w:rPr>
          <w:rFonts w:cstheme="minorHAnsi"/>
        </w:rPr>
        <w:t>a</w:t>
      </w:r>
      <w:r w:rsidRPr="005F3206">
        <w:rPr>
          <w:rFonts w:cstheme="minorHAnsi"/>
        </w:rPr>
        <w:t>warding u</w:t>
      </w:r>
      <w:r w:rsidR="00FA5E9A" w:rsidRPr="005F3206">
        <w:rPr>
          <w:rFonts w:cstheme="minorHAnsi"/>
        </w:rPr>
        <w:t>tilises</w:t>
      </w:r>
      <w:r w:rsidRPr="005F3206">
        <w:rPr>
          <w:rFonts w:cstheme="minorHAnsi"/>
        </w:rPr>
        <w:t xml:space="preserve"> a range of </w:t>
      </w:r>
      <w:r w:rsidR="181AE04E" w:rsidRPr="005F3206">
        <w:rPr>
          <w:rFonts w:cstheme="minorHAnsi"/>
        </w:rPr>
        <w:t xml:space="preserve">qualitative and quantitative </w:t>
      </w:r>
      <w:r w:rsidRPr="005F3206">
        <w:rPr>
          <w:rFonts w:cstheme="minorHAnsi"/>
        </w:rPr>
        <w:t>information</w:t>
      </w:r>
      <w:r w:rsidR="00450899" w:rsidRPr="005F3206">
        <w:rPr>
          <w:rFonts w:cstheme="minorHAnsi"/>
        </w:rPr>
        <w:t>.</w:t>
      </w:r>
      <w:r w:rsidRPr="005F3206">
        <w:rPr>
          <w:rFonts w:cstheme="minorHAnsi"/>
        </w:rPr>
        <w:t xml:space="preserve"> </w:t>
      </w:r>
      <w:r w:rsidR="243297CF" w:rsidRPr="005F3206">
        <w:rPr>
          <w:rFonts w:cstheme="minorHAnsi"/>
          <w:color w:val="000000" w:themeColor="text1"/>
        </w:rPr>
        <w:t xml:space="preserve">Statistical information on the cohort sitting the assessment is used as just one of several sources of information to ensure that the resultant grade distributions can be justified. </w:t>
      </w:r>
      <w:r w:rsidR="000B6DF8" w:rsidRPr="005F3206">
        <w:rPr>
          <w:rFonts w:cstheme="minorHAnsi"/>
        </w:rPr>
        <w:t xml:space="preserve">By reviewing this </w:t>
      </w:r>
      <w:r w:rsidR="7BDFBA98" w:rsidRPr="005F3206">
        <w:rPr>
          <w:rFonts w:cstheme="minorHAnsi"/>
        </w:rPr>
        <w:t xml:space="preserve">wider range of </w:t>
      </w:r>
      <w:r w:rsidR="000B6DF8" w:rsidRPr="005F3206">
        <w:rPr>
          <w:rFonts w:cstheme="minorHAnsi"/>
        </w:rPr>
        <w:t xml:space="preserve">evidence, the </w:t>
      </w:r>
      <w:r w:rsidR="00C13B02">
        <w:rPr>
          <w:rFonts w:cstheme="minorHAnsi"/>
        </w:rPr>
        <w:t>P</w:t>
      </w:r>
      <w:r w:rsidR="000B6DF8" w:rsidRPr="005F3206">
        <w:rPr>
          <w:rFonts w:cstheme="minorHAnsi"/>
        </w:rPr>
        <w:t>anel can determine whether</w:t>
      </w:r>
      <w:r w:rsidRPr="005F3206">
        <w:rPr>
          <w:rFonts w:cstheme="minorHAnsi"/>
        </w:rPr>
        <w:t xml:space="preserve"> the assessment instrument has performed as expected. </w:t>
      </w:r>
    </w:p>
    <w:p w14:paraId="71330A3A" w14:textId="7419C003" w:rsidR="00F57A4B" w:rsidRPr="00EB3CA7" w:rsidRDefault="009C3CCE" w:rsidP="00F57A4B">
      <w:pPr>
        <w:rPr>
          <w:rStyle w:val="normaltextrun"/>
          <w:rFonts w:ascii="Arial" w:hAnsi="Arial" w:cs="Arial"/>
          <w:sz w:val="18"/>
          <w:szCs w:val="18"/>
        </w:rPr>
      </w:pPr>
      <w:r w:rsidRPr="005F3206">
        <w:rPr>
          <w:rFonts w:cstheme="minorHAnsi"/>
        </w:rPr>
        <w:t>This approach has been referred to as attainment-referencing or weak-criterion referencing (</w:t>
      </w:r>
      <w:r w:rsidRPr="00EB3CA7">
        <w:rPr>
          <w:rFonts w:cstheme="minorHAnsi"/>
        </w:rPr>
        <w:t>see</w:t>
      </w:r>
      <w:r w:rsidR="008970A7">
        <w:rPr>
          <w:rFonts w:cstheme="minorHAnsi"/>
        </w:rPr>
        <w:t xml:space="preserve"> </w:t>
      </w:r>
      <w:r w:rsidR="008970A7" w:rsidRPr="006A5E02">
        <w:rPr>
          <w:rFonts w:cstheme="minorHAnsi"/>
        </w:rPr>
        <w:t>Jo-Anne Baird &amp; Lena Gray (2016) The meaning of curriculum-related examination standards in Scotland and England: a home–international comparison, Oxford Review of Education, 42:3, 266-284, DOI: 10.1080/03054985.2016.1184866</w:t>
      </w:r>
      <w:r w:rsidRPr="00EB3CA7">
        <w:rPr>
          <w:rFonts w:cstheme="minorHAnsi"/>
        </w:rPr>
        <w:t>).</w:t>
      </w:r>
      <w:r w:rsidRPr="005F3206">
        <w:rPr>
          <w:rFonts w:cstheme="minorHAnsi"/>
        </w:rPr>
        <w:t xml:space="preserve"> This approach seeks to maintain a consistent national standard that is representative of each candidate’s knowledge and understanding. It aims to </w:t>
      </w:r>
      <w:r w:rsidRPr="005F3206">
        <w:rPr>
          <w:rFonts w:cstheme="minorHAnsi"/>
        </w:rPr>
        <w:lastRenderedPageBreak/>
        <w:t xml:space="preserve">maintain stability in the assessment system by including an awareness of achievement by previous cohorts. </w:t>
      </w:r>
      <w:r w:rsidR="00EB3CA7">
        <w:rPr>
          <w:rFonts w:cstheme="minorHAnsi"/>
        </w:rPr>
        <w:t xml:space="preserve"> </w:t>
      </w:r>
      <w:proofErr w:type="gramStart"/>
      <w:r w:rsidR="00F57A4B" w:rsidRPr="00EB3CA7">
        <w:rPr>
          <w:rFonts w:cstheme="minorHAnsi"/>
        </w:rPr>
        <w:t>Again</w:t>
      </w:r>
      <w:proofErr w:type="gramEnd"/>
      <w:r w:rsidR="00F57A4B" w:rsidRPr="00EB3CA7">
        <w:rPr>
          <w:rFonts w:cstheme="minorHAnsi"/>
        </w:rPr>
        <w:t xml:space="preserve"> it is important to stress that t</w:t>
      </w:r>
      <w:r w:rsidR="00F57A4B" w:rsidRPr="00EB3CA7">
        <w:rPr>
          <w:rStyle w:val="normaltextrun"/>
          <w:rFonts w:cstheme="minorHAnsi"/>
        </w:rPr>
        <w:t>he purpose of providing grades is for end users to be able to interpret those results and make decisions about them for various purposes.   With norm referencing this is very difficult because there is no way of</w:t>
      </w:r>
      <w:r w:rsidR="00496ECA">
        <w:rPr>
          <w:rStyle w:val="normaltextrun"/>
          <w:rFonts w:cstheme="minorHAnsi"/>
        </w:rPr>
        <w:t xml:space="preserve"> independently</w:t>
      </w:r>
      <w:r w:rsidR="00F57A4B" w:rsidRPr="00EB3CA7">
        <w:rPr>
          <w:rStyle w:val="normaltextrun"/>
          <w:rFonts w:cstheme="minorHAnsi"/>
        </w:rPr>
        <w:t xml:space="preserve"> differentiating performance between cohorts.   </w:t>
      </w:r>
    </w:p>
    <w:p w14:paraId="5126B483" w14:textId="4E1C561F" w:rsidR="009C3CCE" w:rsidRPr="005F3206" w:rsidRDefault="009C3CCE" w:rsidP="40986C69">
      <w:pPr>
        <w:rPr>
          <w:rFonts w:cstheme="minorHAnsi"/>
        </w:rPr>
      </w:pPr>
      <w:r w:rsidRPr="005F3206">
        <w:rPr>
          <w:rFonts w:cstheme="minorHAnsi"/>
        </w:rPr>
        <w:t xml:space="preserve">Parallel </w:t>
      </w:r>
      <w:r w:rsidR="005E1843" w:rsidRPr="005F3206">
        <w:rPr>
          <w:rFonts w:cstheme="minorHAnsi"/>
        </w:rPr>
        <w:t xml:space="preserve">to the </w:t>
      </w:r>
      <w:r w:rsidR="005F2280" w:rsidRPr="005F3206">
        <w:rPr>
          <w:rFonts w:cstheme="minorHAnsi"/>
        </w:rPr>
        <w:t>a</w:t>
      </w:r>
      <w:r w:rsidR="005E1843" w:rsidRPr="005F3206">
        <w:rPr>
          <w:rFonts w:cstheme="minorHAnsi"/>
        </w:rPr>
        <w:t xml:space="preserve">warding process, SQA </w:t>
      </w:r>
      <w:r w:rsidR="00C04B27">
        <w:rPr>
          <w:rFonts w:cstheme="minorHAnsi"/>
        </w:rPr>
        <w:t xml:space="preserve">also </w:t>
      </w:r>
      <w:r w:rsidR="005E1843" w:rsidRPr="005F3206">
        <w:rPr>
          <w:rFonts w:cstheme="minorHAnsi"/>
        </w:rPr>
        <w:t>operates a Monitoring Standards programme that aims to ensure the national standard of its qualifications remains the same over time</w:t>
      </w:r>
      <w:r w:rsidRPr="005F3206">
        <w:rPr>
          <w:rFonts w:cstheme="minorHAnsi"/>
        </w:rPr>
        <w:t>, by reviewing the national standard of each subject every five years</w:t>
      </w:r>
      <w:r w:rsidR="005E1843" w:rsidRPr="005F3206">
        <w:rPr>
          <w:rFonts w:cstheme="minorHAnsi"/>
        </w:rPr>
        <w:t xml:space="preserve">. </w:t>
      </w:r>
    </w:p>
    <w:p w14:paraId="3880CAA0" w14:textId="3D56D227" w:rsidR="298ACD81" w:rsidRPr="005F3206" w:rsidRDefault="298ACD81" w:rsidP="40986C69">
      <w:pPr>
        <w:rPr>
          <w:rFonts w:cstheme="minorHAnsi"/>
        </w:rPr>
      </w:pPr>
      <w:r w:rsidRPr="005F3206">
        <w:rPr>
          <w:rFonts w:cstheme="minorHAnsi"/>
          <w:b/>
          <w:bCs/>
        </w:rPr>
        <w:t xml:space="preserve">3) </w:t>
      </w:r>
      <w:r w:rsidR="009C3CCE" w:rsidRPr="005F3206">
        <w:rPr>
          <w:rFonts w:cstheme="minorHAnsi"/>
          <w:b/>
          <w:bCs/>
        </w:rPr>
        <w:t>To give a full explanation as to why the grade boundaries are determined after the exams have been taken and marked.</w:t>
      </w:r>
    </w:p>
    <w:p w14:paraId="113C3173" w14:textId="1D5E3D71" w:rsidR="00FF2B78" w:rsidRPr="004868AE" w:rsidRDefault="009C3CCE" w:rsidP="004868AE">
      <w:pPr>
        <w:pStyle w:val="NormalWeb"/>
        <w:rPr>
          <w:rFonts w:asciiTheme="minorHAnsi" w:hAnsiTheme="minorHAnsi" w:cstheme="minorHAnsi"/>
          <w:sz w:val="22"/>
          <w:szCs w:val="22"/>
        </w:rPr>
      </w:pPr>
      <w:r w:rsidRPr="00475471">
        <w:rPr>
          <w:rFonts w:asciiTheme="minorHAnsi" w:hAnsiTheme="minorHAnsi" w:cstheme="minorHAnsi"/>
          <w:sz w:val="22"/>
          <w:szCs w:val="22"/>
        </w:rPr>
        <w:t>Please see the answer to question 1</w:t>
      </w:r>
      <w:r w:rsidR="00475471">
        <w:rPr>
          <w:rFonts w:asciiTheme="minorHAnsi" w:hAnsiTheme="minorHAnsi" w:cstheme="minorHAnsi"/>
          <w:sz w:val="22"/>
          <w:szCs w:val="22"/>
        </w:rPr>
        <w:t xml:space="preserve"> above</w:t>
      </w:r>
      <w:r w:rsidR="00FF2B78" w:rsidRPr="00475471">
        <w:rPr>
          <w:rFonts w:asciiTheme="minorHAnsi" w:hAnsiTheme="minorHAnsi" w:cstheme="minorHAnsi"/>
          <w:sz w:val="22"/>
          <w:szCs w:val="22"/>
        </w:rPr>
        <w:t>. Notional grade boundaries are used</w:t>
      </w:r>
      <w:r w:rsidR="008128FD" w:rsidRPr="00475471">
        <w:rPr>
          <w:rFonts w:asciiTheme="minorHAnsi" w:hAnsiTheme="minorHAnsi" w:cstheme="minorHAnsi"/>
          <w:sz w:val="22"/>
          <w:szCs w:val="22"/>
        </w:rPr>
        <w:t xml:space="preserve"> </w:t>
      </w:r>
      <w:r w:rsidR="008128FD" w:rsidRPr="00475471">
        <w:rPr>
          <w:rStyle w:val="cf01"/>
          <w:rFonts w:asciiTheme="minorHAnsi" w:hAnsiTheme="minorHAnsi" w:cstheme="minorHAnsi"/>
          <w:sz w:val="22"/>
          <w:szCs w:val="22"/>
        </w:rPr>
        <w:t>as a guide to question paper setters as a ‘target’ to try to ensure as much consistency of experience for learners taking qualifications between cohorts in different years.</w:t>
      </w:r>
      <w:r w:rsidR="004868AE">
        <w:rPr>
          <w:rStyle w:val="cf01"/>
          <w:rFonts w:asciiTheme="minorHAnsi" w:hAnsiTheme="minorHAnsi" w:cstheme="minorHAnsi"/>
          <w:sz w:val="22"/>
          <w:szCs w:val="22"/>
        </w:rPr>
        <w:t xml:space="preserve"> These notional grade boundaries are </w:t>
      </w:r>
      <w:r w:rsidR="00FF2B78" w:rsidRPr="005F3206">
        <w:rPr>
          <w:rFonts w:asciiTheme="minorHAnsi" w:hAnsiTheme="minorHAnsi" w:cstheme="minorHAnsi"/>
          <w:sz w:val="22"/>
          <w:szCs w:val="22"/>
        </w:rPr>
        <w:t>only adjusted if the assessment instrument has not operated as expected.</w:t>
      </w:r>
    </w:p>
    <w:p w14:paraId="2210164E" w14:textId="6FB3B81A" w:rsidR="00FF2B78" w:rsidRPr="005F3206" w:rsidRDefault="2533BE0F" w:rsidP="40986C69">
      <w:pPr>
        <w:spacing w:after="0"/>
        <w:rPr>
          <w:rFonts w:cstheme="minorHAnsi"/>
        </w:rPr>
      </w:pPr>
      <w:r w:rsidRPr="005F3206">
        <w:rPr>
          <w:rFonts w:cstheme="minorHAnsi"/>
          <w:b/>
          <w:bCs/>
        </w:rPr>
        <w:t xml:space="preserve">4) </w:t>
      </w:r>
      <w:r w:rsidR="00FF2B78" w:rsidRPr="005F3206">
        <w:rPr>
          <w:rFonts w:cstheme="minorHAnsi"/>
          <w:b/>
          <w:bCs/>
        </w:rPr>
        <w:t xml:space="preserve">To explain and justify why the grade boundaries are not set before an exam is taken using, for example, the </w:t>
      </w:r>
      <w:proofErr w:type="spellStart"/>
      <w:r w:rsidR="00FF2B78" w:rsidRPr="005F3206">
        <w:rPr>
          <w:rFonts w:cstheme="minorHAnsi"/>
          <w:b/>
          <w:bCs/>
        </w:rPr>
        <w:t>Angoff</w:t>
      </w:r>
      <w:proofErr w:type="spellEnd"/>
      <w:r w:rsidR="00FF2B78" w:rsidRPr="005F3206">
        <w:rPr>
          <w:rFonts w:cstheme="minorHAnsi"/>
          <w:b/>
          <w:bCs/>
        </w:rPr>
        <w:t xml:space="preserve"> process.</w:t>
      </w:r>
    </w:p>
    <w:p w14:paraId="325E37F9" w14:textId="6127578B" w:rsidR="0083107E" w:rsidRPr="00091840" w:rsidRDefault="009D4EA2" w:rsidP="0083107E">
      <w:pPr>
        <w:pStyle w:val="NormalWeb"/>
        <w:rPr>
          <w:rFonts w:asciiTheme="minorHAnsi" w:hAnsiTheme="minorHAnsi" w:cstheme="minorHAnsi"/>
          <w:sz w:val="22"/>
          <w:szCs w:val="22"/>
        </w:rPr>
      </w:pPr>
      <w:r>
        <w:rPr>
          <w:rFonts w:asciiTheme="minorHAnsi" w:hAnsiTheme="minorHAnsi" w:cstheme="minorHAnsi"/>
          <w:sz w:val="22"/>
          <w:szCs w:val="22"/>
        </w:rPr>
        <w:t xml:space="preserve">As outlined in </w:t>
      </w:r>
      <w:r w:rsidR="00901D6B" w:rsidRPr="005F3206">
        <w:rPr>
          <w:rFonts w:asciiTheme="minorHAnsi" w:hAnsiTheme="minorHAnsi" w:cstheme="minorHAnsi"/>
          <w:sz w:val="22"/>
          <w:szCs w:val="22"/>
        </w:rPr>
        <w:t>our answer to question 1</w:t>
      </w:r>
      <w:r>
        <w:rPr>
          <w:rFonts w:asciiTheme="minorHAnsi" w:hAnsiTheme="minorHAnsi" w:cstheme="minorHAnsi"/>
          <w:sz w:val="22"/>
          <w:szCs w:val="22"/>
        </w:rPr>
        <w:t xml:space="preserve"> above</w:t>
      </w:r>
      <w:r w:rsidR="00901D6B" w:rsidRPr="005F3206">
        <w:rPr>
          <w:rFonts w:asciiTheme="minorHAnsi" w:hAnsiTheme="minorHAnsi" w:cstheme="minorHAnsi"/>
          <w:sz w:val="22"/>
          <w:szCs w:val="22"/>
        </w:rPr>
        <w:t xml:space="preserve">, our approach to awarding ensures that </w:t>
      </w:r>
      <w:r w:rsidR="00785F4F" w:rsidRPr="005F3206">
        <w:rPr>
          <w:rFonts w:asciiTheme="minorHAnsi" w:hAnsiTheme="minorHAnsi" w:cstheme="minorHAnsi"/>
          <w:sz w:val="22"/>
          <w:szCs w:val="22"/>
        </w:rPr>
        <w:t xml:space="preserve">notional grade boundaries are adjusted if the assessment instrument is deemed to have </w:t>
      </w:r>
      <w:r w:rsidR="004240E6" w:rsidRPr="005F3206">
        <w:rPr>
          <w:rFonts w:asciiTheme="minorHAnsi" w:hAnsiTheme="minorHAnsi" w:cstheme="minorHAnsi"/>
          <w:sz w:val="22"/>
          <w:szCs w:val="22"/>
        </w:rPr>
        <w:t xml:space="preserve">not operated </w:t>
      </w:r>
      <w:r w:rsidR="005F2280" w:rsidRPr="005F3206">
        <w:rPr>
          <w:rFonts w:asciiTheme="minorHAnsi" w:hAnsiTheme="minorHAnsi" w:cstheme="minorHAnsi"/>
          <w:sz w:val="22"/>
          <w:szCs w:val="22"/>
        </w:rPr>
        <w:t xml:space="preserve">as expected based on </w:t>
      </w:r>
      <w:r w:rsidR="003F522A" w:rsidRPr="005F3206">
        <w:rPr>
          <w:rFonts w:asciiTheme="minorHAnsi" w:hAnsiTheme="minorHAnsi" w:cstheme="minorHAnsi"/>
          <w:sz w:val="22"/>
          <w:szCs w:val="22"/>
        </w:rPr>
        <w:t>the evidence</w:t>
      </w:r>
      <w:r w:rsidR="004240E6" w:rsidRPr="005F3206">
        <w:rPr>
          <w:rFonts w:asciiTheme="minorHAnsi" w:hAnsiTheme="minorHAnsi" w:cstheme="minorHAnsi"/>
          <w:sz w:val="22"/>
          <w:szCs w:val="22"/>
        </w:rPr>
        <w:t xml:space="preserve">. </w:t>
      </w:r>
      <w:r w:rsidR="0001795A">
        <w:rPr>
          <w:rFonts w:asciiTheme="minorHAnsi" w:hAnsiTheme="minorHAnsi" w:cstheme="minorHAnsi"/>
          <w:sz w:val="22"/>
          <w:szCs w:val="22"/>
        </w:rPr>
        <w:t>A</w:t>
      </w:r>
      <w:r w:rsidR="009879F5">
        <w:rPr>
          <w:rFonts w:asciiTheme="minorHAnsi" w:hAnsiTheme="minorHAnsi" w:cstheme="minorHAnsi"/>
          <w:sz w:val="22"/>
          <w:szCs w:val="22"/>
        </w:rPr>
        <w:t>lso as</w:t>
      </w:r>
      <w:r w:rsidR="0001795A">
        <w:rPr>
          <w:rFonts w:asciiTheme="minorHAnsi" w:hAnsiTheme="minorHAnsi" w:cstheme="minorHAnsi"/>
          <w:sz w:val="22"/>
          <w:szCs w:val="22"/>
        </w:rPr>
        <w:t xml:space="preserve"> noted above this is based on the practice that n</w:t>
      </w:r>
      <w:r w:rsidR="0001795A" w:rsidRPr="00475471">
        <w:rPr>
          <w:rFonts w:asciiTheme="minorHAnsi" w:hAnsiTheme="minorHAnsi" w:cstheme="minorHAnsi"/>
          <w:sz w:val="22"/>
          <w:szCs w:val="22"/>
        </w:rPr>
        <w:t xml:space="preserve">otional grade boundaries are used </w:t>
      </w:r>
      <w:r w:rsidR="0001795A" w:rsidRPr="00475471">
        <w:rPr>
          <w:rStyle w:val="cf01"/>
          <w:rFonts w:asciiTheme="minorHAnsi" w:hAnsiTheme="minorHAnsi" w:cstheme="minorHAnsi"/>
          <w:sz w:val="22"/>
          <w:szCs w:val="22"/>
        </w:rPr>
        <w:t>as a guide to question paper setters as a ‘target’ to try to ensure as much consistency of experience for learners taking qualifications between cohorts in different years</w:t>
      </w:r>
      <w:r>
        <w:rPr>
          <w:rStyle w:val="cf01"/>
          <w:rFonts w:asciiTheme="minorHAnsi" w:hAnsiTheme="minorHAnsi" w:cstheme="minorHAnsi"/>
          <w:sz w:val="22"/>
          <w:szCs w:val="22"/>
        </w:rPr>
        <w:t xml:space="preserve">. </w:t>
      </w:r>
      <w:r w:rsidR="00135995">
        <w:rPr>
          <w:rStyle w:val="cf01"/>
          <w:rFonts w:asciiTheme="minorHAnsi" w:hAnsiTheme="minorHAnsi" w:cstheme="minorHAnsi"/>
          <w:sz w:val="22"/>
          <w:szCs w:val="22"/>
        </w:rPr>
        <w:t xml:space="preserve">In an approach that is </w:t>
      </w:r>
      <w:proofErr w:type="gramStart"/>
      <w:r w:rsidR="00135995">
        <w:rPr>
          <w:rStyle w:val="cf01"/>
          <w:rFonts w:asciiTheme="minorHAnsi" w:hAnsiTheme="minorHAnsi" w:cstheme="minorHAnsi"/>
          <w:sz w:val="22"/>
          <w:szCs w:val="22"/>
        </w:rPr>
        <w:t>s</w:t>
      </w:r>
      <w:r w:rsidR="004240E6" w:rsidRPr="005F3206">
        <w:rPr>
          <w:rFonts w:asciiTheme="minorHAnsi" w:hAnsiTheme="minorHAnsi" w:cstheme="minorHAnsi"/>
          <w:sz w:val="22"/>
          <w:szCs w:val="22"/>
        </w:rPr>
        <w:t>imilar to</w:t>
      </w:r>
      <w:proofErr w:type="gramEnd"/>
      <w:r w:rsidR="004240E6" w:rsidRPr="005F3206">
        <w:rPr>
          <w:rFonts w:asciiTheme="minorHAnsi" w:hAnsiTheme="minorHAnsi" w:cstheme="minorHAnsi"/>
          <w:sz w:val="22"/>
          <w:szCs w:val="22"/>
        </w:rPr>
        <w:t xml:space="preserve"> the </w:t>
      </w:r>
      <w:proofErr w:type="spellStart"/>
      <w:r w:rsidR="004240E6" w:rsidRPr="005F3206">
        <w:rPr>
          <w:rFonts w:asciiTheme="minorHAnsi" w:hAnsiTheme="minorHAnsi" w:cstheme="minorHAnsi"/>
          <w:sz w:val="22"/>
          <w:szCs w:val="22"/>
        </w:rPr>
        <w:t>Angoff</w:t>
      </w:r>
      <w:proofErr w:type="spellEnd"/>
      <w:r w:rsidR="004240E6" w:rsidRPr="005F3206">
        <w:rPr>
          <w:rFonts w:asciiTheme="minorHAnsi" w:hAnsiTheme="minorHAnsi" w:cstheme="minorHAnsi"/>
          <w:sz w:val="22"/>
          <w:szCs w:val="22"/>
        </w:rPr>
        <w:t xml:space="preserve"> method, </w:t>
      </w:r>
      <w:r w:rsidR="00584405" w:rsidRPr="005F3206">
        <w:rPr>
          <w:rFonts w:asciiTheme="minorHAnsi" w:hAnsiTheme="minorHAnsi" w:cstheme="minorHAnsi"/>
          <w:sz w:val="22"/>
          <w:szCs w:val="22"/>
        </w:rPr>
        <w:t>subject experts then use a range of evidence to determine how this may have affected the</w:t>
      </w:r>
      <w:r w:rsidR="00B52719" w:rsidRPr="005F3206">
        <w:rPr>
          <w:rFonts w:asciiTheme="minorHAnsi" w:hAnsiTheme="minorHAnsi" w:cstheme="minorHAnsi"/>
          <w:sz w:val="22"/>
          <w:szCs w:val="22"/>
        </w:rPr>
        <w:t xml:space="preserve"> examination</w:t>
      </w:r>
      <w:r w:rsidR="003F522A" w:rsidRPr="005F3206">
        <w:rPr>
          <w:rFonts w:asciiTheme="minorHAnsi" w:hAnsiTheme="minorHAnsi" w:cstheme="minorHAnsi"/>
          <w:sz w:val="22"/>
          <w:szCs w:val="22"/>
        </w:rPr>
        <w:t xml:space="preserve">. </w:t>
      </w:r>
      <w:r w:rsidR="003F522A" w:rsidRPr="00091840">
        <w:rPr>
          <w:rFonts w:asciiTheme="minorHAnsi" w:hAnsiTheme="minorHAnsi" w:cstheme="minorHAnsi"/>
          <w:sz w:val="22"/>
          <w:szCs w:val="22"/>
        </w:rPr>
        <w:t xml:space="preserve">While the </w:t>
      </w:r>
      <w:proofErr w:type="spellStart"/>
      <w:r w:rsidR="003F522A" w:rsidRPr="00091840">
        <w:rPr>
          <w:rFonts w:asciiTheme="minorHAnsi" w:hAnsiTheme="minorHAnsi" w:cstheme="minorHAnsi"/>
          <w:sz w:val="22"/>
          <w:szCs w:val="22"/>
        </w:rPr>
        <w:t>Angoff</w:t>
      </w:r>
      <w:proofErr w:type="spellEnd"/>
      <w:r w:rsidR="003F522A" w:rsidRPr="00091840">
        <w:rPr>
          <w:rFonts w:asciiTheme="minorHAnsi" w:hAnsiTheme="minorHAnsi" w:cstheme="minorHAnsi"/>
          <w:sz w:val="22"/>
          <w:szCs w:val="22"/>
        </w:rPr>
        <w:t xml:space="preserve"> method </w:t>
      </w:r>
      <w:r w:rsidR="0083107E" w:rsidRPr="00091840">
        <w:rPr>
          <w:rFonts w:asciiTheme="minorHAnsi" w:hAnsiTheme="minorHAnsi" w:cstheme="minorHAnsi"/>
          <w:sz w:val="22"/>
          <w:szCs w:val="22"/>
        </w:rPr>
        <w:t xml:space="preserve">may </w:t>
      </w:r>
      <w:r w:rsidR="00124F47" w:rsidRPr="00091840">
        <w:rPr>
          <w:rFonts w:asciiTheme="minorHAnsi" w:hAnsiTheme="minorHAnsi" w:cstheme="minorHAnsi"/>
          <w:sz w:val="22"/>
          <w:szCs w:val="22"/>
        </w:rPr>
        <w:t xml:space="preserve">take place before the assessment </w:t>
      </w:r>
      <w:r w:rsidR="00091840">
        <w:rPr>
          <w:rFonts w:asciiTheme="minorHAnsi" w:hAnsiTheme="minorHAnsi" w:cstheme="minorHAnsi"/>
          <w:sz w:val="22"/>
          <w:szCs w:val="22"/>
        </w:rPr>
        <w:t>has been undertaken</w:t>
      </w:r>
      <w:r w:rsidR="00124F47" w:rsidRPr="00091840">
        <w:rPr>
          <w:rFonts w:asciiTheme="minorHAnsi" w:hAnsiTheme="minorHAnsi" w:cstheme="minorHAnsi"/>
          <w:sz w:val="22"/>
          <w:szCs w:val="22"/>
        </w:rPr>
        <w:t>,</w:t>
      </w:r>
      <w:r w:rsidR="0083107E" w:rsidRPr="00091840">
        <w:rPr>
          <w:rFonts w:asciiTheme="minorHAnsi" w:hAnsiTheme="minorHAnsi" w:cstheme="minorHAnsi"/>
          <w:sz w:val="22"/>
          <w:szCs w:val="22"/>
        </w:rPr>
        <w:t xml:space="preserve"> </w:t>
      </w:r>
      <w:r w:rsidR="0083107E" w:rsidRPr="00091840">
        <w:rPr>
          <w:rStyle w:val="cf01"/>
          <w:rFonts w:asciiTheme="minorHAnsi" w:hAnsiTheme="minorHAnsi" w:cstheme="minorHAnsi"/>
          <w:sz w:val="22"/>
          <w:szCs w:val="22"/>
        </w:rPr>
        <w:t>it is often</w:t>
      </w:r>
      <w:r w:rsidR="00496ECA">
        <w:rPr>
          <w:rStyle w:val="cf01"/>
          <w:rFonts w:asciiTheme="minorHAnsi" w:hAnsiTheme="minorHAnsi" w:cstheme="minorHAnsi"/>
          <w:sz w:val="22"/>
          <w:szCs w:val="22"/>
        </w:rPr>
        <w:t xml:space="preserve"> (perhaps more often)</w:t>
      </w:r>
      <w:r w:rsidR="0083107E" w:rsidRPr="00091840">
        <w:rPr>
          <w:rStyle w:val="cf01"/>
          <w:rFonts w:asciiTheme="minorHAnsi" w:hAnsiTheme="minorHAnsi" w:cstheme="minorHAnsi"/>
          <w:sz w:val="22"/>
          <w:szCs w:val="22"/>
        </w:rPr>
        <w:t xml:space="preserve"> performed afterwards and often </w:t>
      </w:r>
      <w:proofErr w:type="gramStart"/>
      <w:r w:rsidR="0083107E" w:rsidRPr="00091840">
        <w:rPr>
          <w:rStyle w:val="cf01"/>
          <w:rFonts w:asciiTheme="minorHAnsi" w:hAnsiTheme="minorHAnsi" w:cstheme="minorHAnsi"/>
          <w:sz w:val="22"/>
          <w:szCs w:val="22"/>
        </w:rPr>
        <w:t>takes into account</w:t>
      </w:r>
      <w:proofErr w:type="gramEnd"/>
      <w:r w:rsidR="0083107E" w:rsidRPr="00091840">
        <w:rPr>
          <w:rStyle w:val="cf01"/>
          <w:rFonts w:asciiTheme="minorHAnsi" w:hAnsiTheme="minorHAnsi" w:cstheme="minorHAnsi"/>
          <w:sz w:val="22"/>
          <w:szCs w:val="22"/>
        </w:rPr>
        <w:t xml:space="preserve"> item functioning information</w:t>
      </w:r>
      <w:r w:rsidR="006869A7" w:rsidRPr="00091840">
        <w:rPr>
          <w:rStyle w:val="cf01"/>
          <w:rFonts w:asciiTheme="minorHAnsi" w:hAnsiTheme="minorHAnsi" w:cstheme="minorHAnsi"/>
          <w:sz w:val="22"/>
          <w:szCs w:val="22"/>
        </w:rPr>
        <w:t xml:space="preserve"> that is only available after the assessment has been delivered and marked.</w:t>
      </w:r>
      <w:r w:rsidR="00496ECA">
        <w:rPr>
          <w:rStyle w:val="cf01"/>
          <w:rFonts w:asciiTheme="minorHAnsi" w:hAnsiTheme="minorHAnsi" w:cstheme="minorHAnsi"/>
          <w:sz w:val="22"/>
          <w:szCs w:val="22"/>
        </w:rPr>
        <w:t xml:space="preserve"> As with every standard maintaining methodology, there is research and analytical literature which discusses its strengths and weaknesses.</w:t>
      </w:r>
    </w:p>
    <w:p w14:paraId="7E9BEED9" w14:textId="7BF84679" w:rsidR="00FF2B78" w:rsidRPr="005F3206" w:rsidRDefault="00124F47" w:rsidP="40986C69">
      <w:pPr>
        <w:spacing w:after="0"/>
        <w:rPr>
          <w:rFonts w:cstheme="minorHAnsi"/>
        </w:rPr>
      </w:pPr>
      <w:r w:rsidRPr="005F3206">
        <w:rPr>
          <w:rFonts w:cstheme="minorHAnsi"/>
        </w:rPr>
        <w:t xml:space="preserve"> </w:t>
      </w:r>
    </w:p>
    <w:p w14:paraId="38ECC064" w14:textId="77777777" w:rsidR="00271399" w:rsidRPr="005F3206" w:rsidRDefault="00271399" w:rsidP="00271399">
      <w:pPr>
        <w:autoSpaceDE w:val="0"/>
        <w:autoSpaceDN w:val="0"/>
        <w:rPr>
          <w:rFonts w:cstheme="minorHAnsi"/>
          <w:b/>
          <w:bCs/>
          <w:color w:val="000000"/>
        </w:rPr>
      </w:pPr>
    </w:p>
    <w:p w14:paraId="6275E83B" w14:textId="19CA924A" w:rsidR="00271399" w:rsidRPr="005F3206" w:rsidRDefault="00271399" w:rsidP="40986C69">
      <w:pPr>
        <w:autoSpaceDE w:val="0"/>
        <w:autoSpaceDN w:val="0"/>
        <w:rPr>
          <w:rFonts w:cstheme="minorHAnsi"/>
          <w:b/>
          <w:bCs/>
          <w:color w:val="000000" w:themeColor="text1"/>
        </w:rPr>
      </w:pPr>
    </w:p>
    <w:p w14:paraId="45A192E9" w14:textId="7EF5D29E" w:rsidR="00271399" w:rsidRPr="005F3206" w:rsidRDefault="00271399" w:rsidP="40986C69">
      <w:pPr>
        <w:autoSpaceDE w:val="0"/>
        <w:autoSpaceDN w:val="0"/>
        <w:rPr>
          <w:rFonts w:cstheme="minorHAnsi"/>
          <w:b/>
          <w:bCs/>
          <w:color w:val="000000" w:themeColor="text1"/>
        </w:rPr>
      </w:pPr>
    </w:p>
    <w:p w14:paraId="19D06B82" w14:textId="3E5E217C" w:rsidR="00271399" w:rsidRPr="005F3206" w:rsidRDefault="00271399" w:rsidP="40986C69">
      <w:pPr>
        <w:autoSpaceDE w:val="0"/>
        <w:autoSpaceDN w:val="0"/>
        <w:rPr>
          <w:rFonts w:cstheme="minorHAnsi"/>
          <w:b/>
          <w:bCs/>
          <w:color w:val="000000" w:themeColor="text1"/>
        </w:rPr>
      </w:pPr>
    </w:p>
    <w:p w14:paraId="64CD3296" w14:textId="282617E8" w:rsidR="00271399" w:rsidRPr="005F3206" w:rsidRDefault="00271399" w:rsidP="40986C69">
      <w:pPr>
        <w:autoSpaceDE w:val="0"/>
        <w:autoSpaceDN w:val="0"/>
        <w:rPr>
          <w:rFonts w:cstheme="minorHAnsi"/>
          <w:b/>
          <w:bCs/>
          <w:color w:val="000000" w:themeColor="text1"/>
        </w:rPr>
      </w:pPr>
    </w:p>
    <w:p w14:paraId="6F9EDC65" w14:textId="0A89A548" w:rsidR="00271399" w:rsidRPr="005F3206" w:rsidRDefault="00271399" w:rsidP="40986C69">
      <w:pPr>
        <w:autoSpaceDE w:val="0"/>
        <w:autoSpaceDN w:val="0"/>
        <w:rPr>
          <w:rFonts w:cstheme="minorHAnsi"/>
          <w:b/>
          <w:bCs/>
          <w:color w:val="000000" w:themeColor="text1"/>
        </w:rPr>
      </w:pPr>
    </w:p>
    <w:p w14:paraId="0D7669AA" w14:textId="21D36081" w:rsidR="00271399" w:rsidRPr="005F3206" w:rsidRDefault="00271399" w:rsidP="40986C69">
      <w:pPr>
        <w:autoSpaceDE w:val="0"/>
        <w:autoSpaceDN w:val="0"/>
        <w:rPr>
          <w:rFonts w:cstheme="minorHAnsi"/>
          <w:b/>
          <w:bCs/>
          <w:color w:val="000000" w:themeColor="text1"/>
        </w:rPr>
      </w:pPr>
    </w:p>
    <w:sectPr w:rsidR="00271399" w:rsidRPr="005F320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9B2D" w14:textId="77777777" w:rsidR="00CB52FA" w:rsidRDefault="00CB52FA" w:rsidP="00D32C4A">
      <w:pPr>
        <w:spacing w:after="0" w:line="240" w:lineRule="auto"/>
      </w:pPr>
      <w:r>
        <w:separator/>
      </w:r>
    </w:p>
  </w:endnote>
  <w:endnote w:type="continuationSeparator" w:id="0">
    <w:p w14:paraId="7B18338A" w14:textId="77777777" w:rsidR="00CB52FA" w:rsidRDefault="00CB52FA" w:rsidP="00D32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277353"/>
      <w:docPartObj>
        <w:docPartGallery w:val="Page Numbers (Bottom of Page)"/>
        <w:docPartUnique/>
      </w:docPartObj>
    </w:sdtPr>
    <w:sdtEndPr>
      <w:rPr>
        <w:noProof/>
      </w:rPr>
    </w:sdtEndPr>
    <w:sdtContent>
      <w:p w14:paraId="10129E6B" w14:textId="7757A645" w:rsidR="00AA7908" w:rsidRDefault="00AA79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F4774F" w14:textId="77777777" w:rsidR="00D32C4A" w:rsidRDefault="00D32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54700" w14:textId="77777777" w:rsidR="00CB52FA" w:rsidRDefault="00CB52FA" w:rsidP="00D32C4A">
      <w:pPr>
        <w:spacing w:after="0" w:line="240" w:lineRule="auto"/>
      </w:pPr>
      <w:r>
        <w:separator/>
      </w:r>
    </w:p>
  </w:footnote>
  <w:footnote w:type="continuationSeparator" w:id="0">
    <w:p w14:paraId="3167A220" w14:textId="77777777" w:rsidR="00CB52FA" w:rsidRDefault="00CB52FA" w:rsidP="00D32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AC06" w14:textId="114CD3E5" w:rsidR="00D32C4A" w:rsidRDefault="00D32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6AD3"/>
    <w:multiLevelType w:val="hybridMultilevel"/>
    <w:tmpl w:val="D02A6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26C7DFC"/>
    <w:multiLevelType w:val="hybridMultilevel"/>
    <w:tmpl w:val="9334C5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99"/>
    <w:rsid w:val="0001795A"/>
    <w:rsid w:val="00072CF5"/>
    <w:rsid w:val="00085BAB"/>
    <w:rsid w:val="00090213"/>
    <w:rsid w:val="00090A20"/>
    <w:rsid w:val="00091840"/>
    <w:rsid w:val="000A06BE"/>
    <w:rsid w:val="000B6DF8"/>
    <w:rsid w:val="000F22F0"/>
    <w:rsid w:val="00124F47"/>
    <w:rsid w:val="00135995"/>
    <w:rsid w:val="00152D7D"/>
    <w:rsid w:val="001562BE"/>
    <w:rsid w:val="00183C0D"/>
    <w:rsid w:val="0019431A"/>
    <w:rsid w:val="001A4614"/>
    <w:rsid w:val="001B630C"/>
    <w:rsid w:val="001C1613"/>
    <w:rsid w:val="001C56C0"/>
    <w:rsid w:val="001D1DFB"/>
    <w:rsid w:val="001F423E"/>
    <w:rsid w:val="002003CD"/>
    <w:rsid w:val="00216487"/>
    <w:rsid w:val="0024617A"/>
    <w:rsid w:val="00271399"/>
    <w:rsid w:val="00291811"/>
    <w:rsid w:val="00292807"/>
    <w:rsid w:val="002A5C8A"/>
    <w:rsid w:val="002B4F61"/>
    <w:rsid w:val="002C3CDC"/>
    <w:rsid w:val="002D3B01"/>
    <w:rsid w:val="00361A51"/>
    <w:rsid w:val="003646FC"/>
    <w:rsid w:val="003804A3"/>
    <w:rsid w:val="00381AD4"/>
    <w:rsid w:val="00390C76"/>
    <w:rsid w:val="00393CD0"/>
    <w:rsid w:val="003B2BB3"/>
    <w:rsid w:val="003D3F15"/>
    <w:rsid w:val="003E30C5"/>
    <w:rsid w:val="003E6280"/>
    <w:rsid w:val="003F2253"/>
    <w:rsid w:val="003F522A"/>
    <w:rsid w:val="00405B44"/>
    <w:rsid w:val="0041351D"/>
    <w:rsid w:val="004240E6"/>
    <w:rsid w:val="00441211"/>
    <w:rsid w:val="00450899"/>
    <w:rsid w:val="00456CE7"/>
    <w:rsid w:val="00475471"/>
    <w:rsid w:val="00476ABB"/>
    <w:rsid w:val="004868AE"/>
    <w:rsid w:val="00491368"/>
    <w:rsid w:val="00494893"/>
    <w:rsid w:val="00496ECA"/>
    <w:rsid w:val="004976DD"/>
    <w:rsid w:val="004A6EB3"/>
    <w:rsid w:val="004B1CBD"/>
    <w:rsid w:val="004D0698"/>
    <w:rsid w:val="004F6F44"/>
    <w:rsid w:val="00511119"/>
    <w:rsid w:val="0051D9DA"/>
    <w:rsid w:val="00541A66"/>
    <w:rsid w:val="00583320"/>
    <w:rsid w:val="00584405"/>
    <w:rsid w:val="00586EB3"/>
    <w:rsid w:val="005908F8"/>
    <w:rsid w:val="005945A1"/>
    <w:rsid w:val="005E1843"/>
    <w:rsid w:val="005E54A9"/>
    <w:rsid w:val="005F2280"/>
    <w:rsid w:val="005F3206"/>
    <w:rsid w:val="0063409A"/>
    <w:rsid w:val="006804BA"/>
    <w:rsid w:val="006869A7"/>
    <w:rsid w:val="006A5E02"/>
    <w:rsid w:val="00702E91"/>
    <w:rsid w:val="00751F96"/>
    <w:rsid w:val="00761A46"/>
    <w:rsid w:val="00767865"/>
    <w:rsid w:val="00785F4F"/>
    <w:rsid w:val="007873AB"/>
    <w:rsid w:val="007A4D59"/>
    <w:rsid w:val="007B11C7"/>
    <w:rsid w:val="007F038E"/>
    <w:rsid w:val="008128FD"/>
    <w:rsid w:val="00826D44"/>
    <w:rsid w:val="008279B3"/>
    <w:rsid w:val="0083107E"/>
    <w:rsid w:val="0084605E"/>
    <w:rsid w:val="00896E8C"/>
    <w:rsid w:val="008970A7"/>
    <w:rsid w:val="008B61C9"/>
    <w:rsid w:val="008E3887"/>
    <w:rsid w:val="008E6B4A"/>
    <w:rsid w:val="008F28D7"/>
    <w:rsid w:val="00901D6B"/>
    <w:rsid w:val="009165E0"/>
    <w:rsid w:val="009313C1"/>
    <w:rsid w:val="00935B84"/>
    <w:rsid w:val="009672A9"/>
    <w:rsid w:val="009716E4"/>
    <w:rsid w:val="009879F5"/>
    <w:rsid w:val="009A16A7"/>
    <w:rsid w:val="009B729A"/>
    <w:rsid w:val="009C3CCE"/>
    <w:rsid w:val="009D4EA2"/>
    <w:rsid w:val="009D538A"/>
    <w:rsid w:val="00A049B0"/>
    <w:rsid w:val="00A16D11"/>
    <w:rsid w:val="00A2203C"/>
    <w:rsid w:val="00A673CA"/>
    <w:rsid w:val="00A74DFF"/>
    <w:rsid w:val="00AA531B"/>
    <w:rsid w:val="00AA7908"/>
    <w:rsid w:val="00AB6CA1"/>
    <w:rsid w:val="00AB7569"/>
    <w:rsid w:val="00AD23F3"/>
    <w:rsid w:val="00AD4CC7"/>
    <w:rsid w:val="00AF4D9B"/>
    <w:rsid w:val="00B267EF"/>
    <w:rsid w:val="00B30ACC"/>
    <w:rsid w:val="00B3778F"/>
    <w:rsid w:val="00B52719"/>
    <w:rsid w:val="00B77DEE"/>
    <w:rsid w:val="00B90216"/>
    <w:rsid w:val="00B925DE"/>
    <w:rsid w:val="00B9500D"/>
    <w:rsid w:val="00B960E7"/>
    <w:rsid w:val="00BA0385"/>
    <w:rsid w:val="00BA2FE4"/>
    <w:rsid w:val="00BC185C"/>
    <w:rsid w:val="00BE37A0"/>
    <w:rsid w:val="00C04B27"/>
    <w:rsid w:val="00C13B02"/>
    <w:rsid w:val="00C33B64"/>
    <w:rsid w:val="00C36DD7"/>
    <w:rsid w:val="00C4391C"/>
    <w:rsid w:val="00C514D0"/>
    <w:rsid w:val="00C519C3"/>
    <w:rsid w:val="00C90A37"/>
    <w:rsid w:val="00C97305"/>
    <w:rsid w:val="00CB52FA"/>
    <w:rsid w:val="00CC242A"/>
    <w:rsid w:val="00CF303B"/>
    <w:rsid w:val="00D254AE"/>
    <w:rsid w:val="00D32C4A"/>
    <w:rsid w:val="00D607A6"/>
    <w:rsid w:val="00D64E42"/>
    <w:rsid w:val="00D66721"/>
    <w:rsid w:val="00D75EDC"/>
    <w:rsid w:val="00D942A8"/>
    <w:rsid w:val="00DC371B"/>
    <w:rsid w:val="00DD072C"/>
    <w:rsid w:val="00DD1A2A"/>
    <w:rsid w:val="00DE2010"/>
    <w:rsid w:val="00E13767"/>
    <w:rsid w:val="00E1477D"/>
    <w:rsid w:val="00E21426"/>
    <w:rsid w:val="00E24C55"/>
    <w:rsid w:val="00E42123"/>
    <w:rsid w:val="00E5201B"/>
    <w:rsid w:val="00E55954"/>
    <w:rsid w:val="00EB3CA7"/>
    <w:rsid w:val="00EE79C8"/>
    <w:rsid w:val="00F0189D"/>
    <w:rsid w:val="00F57A4B"/>
    <w:rsid w:val="00F92105"/>
    <w:rsid w:val="00FA5E9A"/>
    <w:rsid w:val="00FC3217"/>
    <w:rsid w:val="00FE116B"/>
    <w:rsid w:val="00FF2B78"/>
    <w:rsid w:val="03394BC9"/>
    <w:rsid w:val="04D80141"/>
    <w:rsid w:val="0532BA24"/>
    <w:rsid w:val="07C9B1A0"/>
    <w:rsid w:val="08E9E214"/>
    <w:rsid w:val="095978A5"/>
    <w:rsid w:val="0991E8F8"/>
    <w:rsid w:val="09A45949"/>
    <w:rsid w:val="09BEF79C"/>
    <w:rsid w:val="0A6EF290"/>
    <w:rsid w:val="0AF54906"/>
    <w:rsid w:val="0BD91606"/>
    <w:rsid w:val="0E307141"/>
    <w:rsid w:val="0E77D504"/>
    <w:rsid w:val="0E9268BF"/>
    <w:rsid w:val="102E3920"/>
    <w:rsid w:val="11CA0981"/>
    <w:rsid w:val="137F023F"/>
    <w:rsid w:val="16632684"/>
    <w:rsid w:val="1727E582"/>
    <w:rsid w:val="181AE04E"/>
    <w:rsid w:val="19DD08EC"/>
    <w:rsid w:val="1A4A3705"/>
    <w:rsid w:val="1A9FD2C6"/>
    <w:rsid w:val="1D14A9AE"/>
    <w:rsid w:val="1EC4A943"/>
    <w:rsid w:val="1F6888CC"/>
    <w:rsid w:val="20823708"/>
    <w:rsid w:val="20B97889"/>
    <w:rsid w:val="213B19DF"/>
    <w:rsid w:val="21F02E9A"/>
    <w:rsid w:val="243297CF"/>
    <w:rsid w:val="2533BE0F"/>
    <w:rsid w:val="27248C28"/>
    <w:rsid w:val="295F4E7C"/>
    <w:rsid w:val="298ACD81"/>
    <w:rsid w:val="29F32CB6"/>
    <w:rsid w:val="2A1C3342"/>
    <w:rsid w:val="2FA6054F"/>
    <w:rsid w:val="30D789D9"/>
    <w:rsid w:val="322A0F7E"/>
    <w:rsid w:val="326907AF"/>
    <w:rsid w:val="33577583"/>
    <w:rsid w:val="3390E7EE"/>
    <w:rsid w:val="352CB84F"/>
    <w:rsid w:val="3563FA02"/>
    <w:rsid w:val="371577BD"/>
    <w:rsid w:val="39481AB5"/>
    <w:rsid w:val="3A5D2466"/>
    <w:rsid w:val="3D37CA34"/>
    <w:rsid w:val="3EE0510B"/>
    <w:rsid w:val="3F1C3E07"/>
    <w:rsid w:val="4064EEB5"/>
    <w:rsid w:val="406F6AF6"/>
    <w:rsid w:val="40986C69"/>
    <w:rsid w:val="40E3DE2E"/>
    <w:rsid w:val="41A8E279"/>
    <w:rsid w:val="4417EADE"/>
    <w:rsid w:val="449ACEAB"/>
    <w:rsid w:val="44A352B2"/>
    <w:rsid w:val="44E02536"/>
    <w:rsid w:val="460D7560"/>
    <w:rsid w:val="46269DBD"/>
    <w:rsid w:val="475501A1"/>
    <w:rsid w:val="47BECC1E"/>
    <w:rsid w:val="47C26E1E"/>
    <w:rsid w:val="4806361D"/>
    <w:rsid w:val="48F0D202"/>
    <w:rsid w:val="4983D00D"/>
    <w:rsid w:val="4AC2904B"/>
    <w:rsid w:val="4AC9C0A9"/>
    <w:rsid w:val="4B162B9A"/>
    <w:rsid w:val="4B7B6BBD"/>
    <w:rsid w:val="4D7FF646"/>
    <w:rsid w:val="526F5FBC"/>
    <w:rsid w:val="546141DC"/>
    <w:rsid w:val="5834852A"/>
    <w:rsid w:val="58CC54DB"/>
    <w:rsid w:val="5C547EBF"/>
    <w:rsid w:val="5C5D3084"/>
    <w:rsid w:val="5CD6DAD1"/>
    <w:rsid w:val="5F9789A1"/>
    <w:rsid w:val="60E7680F"/>
    <w:rsid w:val="62D07B17"/>
    <w:rsid w:val="652C5F2F"/>
    <w:rsid w:val="6533BAE4"/>
    <w:rsid w:val="663961F1"/>
    <w:rsid w:val="68B2DF59"/>
    <w:rsid w:val="6B58E39C"/>
    <w:rsid w:val="6B774E10"/>
    <w:rsid w:val="6B8A373C"/>
    <w:rsid w:val="6F23BB13"/>
    <w:rsid w:val="6F9B43A4"/>
    <w:rsid w:val="743E9017"/>
    <w:rsid w:val="76EA6579"/>
    <w:rsid w:val="77EA7797"/>
    <w:rsid w:val="79CA0FF7"/>
    <w:rsid w:val="7A6F4722"/>
    <w:rsid w:val="7ADE3E41"/>
    <w:rsid w:val="7BDFBA98"/>
    <w:rsid w:val="7CBDE8BA"/>
    <w:rsid w:val="7EC16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768B37"/>
  <w15:chartTrackingRefBased/>
  <w15:docId w15:val="{49F3FD43-B6B3-49C5-BDB8-297D130FE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B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1399"/>
    <w:rPr>
      <w:color w:val="0563C1"/>
      <w:u w:val="single"/>
    </w:rPr>
  </w:style>
  <w:style w:type="paragraph" w:styleId="ListParagraph">
    <w:name w:val="List Paragraph"/>
    <w:basedOn w:val="Normal"/>
    <w:uiPriority w:val="34"/>
    <w:qFormat/>
    <w:rsid w:val="00271399"/>
    <w:pPr>
      <w:spacing w:after="0" w:line="240" w:lineRule="auto"/>
      <w:ind w:left="720"/>
    </w:pPr>
    <w:rPr>
      <w:rFonts w:ascii="Calibri" w:hAnsi="Calibri" w:cs="Calibri"/>
    </w:rPr>
  </w:style>
  <w:style w:type="paragraph" w:customStyle="1" w:styleId="paragraph">
    <w:name w:val="paragraph"/>
    <w:basedOn w:val="Normal"/>
    <w:rsid w:val="00B377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3778F"/>
  </w:style>
  <w:style w:type="character" w:customStyle="1" w:styleId="eop">
    <w:name w:val="eop"/>
    <w:basedOn w:val="DefaultParagraphFont"/>
    <w:rsid w:val="00B3778F"/>
  </w:style>
  <w:style w:type="character" w:styleId="CommentReference">
    <w:name w:val="annotation reference"/>
    <w:basedOn w:val="DefaultParagraphFont"/>
    <w:uiPriority w:val="99"/>
    <w:semiHidden/>
    <w:unhideWhenUsed/>
    <w:rsid w:val="007A4D59"/>
    <w:rPr>
      <w:sz w:val="16"/>
      <w:szCs w:val="16"/>
    </w:rPr>
  </w:style>
  <w:style w:type="paragraph" w:styleId="CommentText">
    <w:name w:val="annotation text"/>
    <w:basedOn w:val="Normal"/>
    <w:link w:val="CommentTextChar"/>
    <w:uiPriority w:val="99"/>
    <w:unhideWhenUsed/>
    <w:rsid w:val="007A4D59"/>
    <w:pPr>
      <w:spacing w:line="240" w:lineRule="auto"/>
    </w:pPr>
    <w:rPr>
      <w:sz w:val="20"/>
      <w:szCs w:val="20"/>
    </w:rPr>
  </w:style>
  <w:style w:type="character" w:customStyle="1" w:styleId="CommentTextChar">
    <w:name w:val="Comment Text Char"/>
    <w:basedOn w:val="DefaultParagraphFont"/>
    <w:link w:val="CommentText"/>
    <w:uiPriority w:val="99"/>
    <w:rsid w:val="007A4D59"/>
    <w:rPr>
      <w:sz w:val="20"/>
      <w:szCs w:val="20"/>
    </w:rPr>
  </w:style>
  <w:style w:type="paragraph" w:styleId="CommentSubject">
    <w:name w:val="annotation subject"/>
    <w:basedOn w:val="CommentText"/>
    <w:next w:val="CommentText"/>
    <w:link w:val="CommentSubjectChar"/>
    <w:uiPriority w:val="99"/>
    <w:semiHidden/>
    <w:unhideWhenUsed/>
    <w:rsid w:val="007A4D59"/>
    <w:rPr>
      <w:b/>
      <w:bCs/>
    </w:rPr>
  </w:style>
  <w:style w:type="character" w:customStyle="1" w:styleId="CommentSubjectChar">
    <w:name w:val="Comment Subject Char"/>
    <w:basedOn w:val="CommentTextChar"/>
    <w:link w:val="CommentSubject"/>
    <w:uiPriority w:val="99"/>
    <w:semiHidden/>
    <w:rsid w:val="007A4D59"/>
    <w:rPr>
      <w:b/>
      <w:bCs/>
      <w:sz w:val="20"/>
      <w:szCs w:val="20"/>
    </w:rPr>
  </w:style>
  <w:style w:type="paragraph" w:styleId="Header">
    <w:name w:val="header"/>
    <w:basedOn w:val="Normal"/>
    <w:link w:val="HeaderChar"/>
    <w:uiPriority w:val="99"/>
    <w:unhideWhenUsed/>
    <w:rsid w:val="00D32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2C4A"/>
  </w:style>
  <w:style w:type="paragraph" w:styleId="Footer">
    <w:name w:val="footer"/>
    <w:basedOn w:val="Normal"/>
    <w:link w:val="FooterChar"/>
    <w:uiPriority w:val="99"/>
    <w:unhideWhenUsed/>
    <w:rsid w:val="00D32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2C4A"/>
  </w:style>
  <w:style w:type="paragraph" w:styleId="NormalWeb">
    <w:name w:val="Normal (Web)"/>
    <w:basedOn w:val="Normal"/>
    <w:uiPriority w:val="99"/>
    <w:unhideWhenUsed/>
    <w:rsid w:val="00393C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93CD0"/>
    <w:rPr>
      <w:rFonts w:ascii="Segoe UI" w:hAnsi="Segoe UI" w:cs="Segoe UI" w:hint="default"/>
      <w:sz w:val="18"/>
      <w:szCs w:val="18"/>
    </w:rPr>
  </w:style>
  <w:style w:type="paragraph" w:customStyle="1" w:styleId="pf0">
    <w:name w:val="pf0"/>
    <w:basedOn w:val="Normal"/>
    <w:rsid w:val="003646F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07760">
      <w:bodyDiv w:val="1"/>
      <w:marLeft w:val="0"/>
      <w:marRight w:val="0"/>
      <w:marTop w:val="0"/>
      <w:marBottom w:val="0"/>
      <w:divBdr>
        <w:top w:val="none" w:sz="0" w:space="0" w:color="auto"/>
        <w:left w:val="none" w:sz="0" w:space="0" w:color="auto"/>
        <w:bottom w:val="none" w:sz="0" w:space="0" w:color="auto"/>
        <w:right w:val="none" w:sz="0" w:space="0" w:color="auto"/>
      </w:divBdr>
    </w:div>
    <w:div w:id="179977290">
      <w:bodyDiv w:val="1"/>
      <w:marLeft w:val="0"/>
      <w:marRight w:val="0"/>
      <w:marTop w:val="0"/>
      <w:marBottom w:val="0"/>
      <w:divBdr>
        <w:top w:val="none" w:sz="0" w:space="0" w:color="auto"/>
        <w:left w:val="none" w:sz="0" w:space="0" w:color="auto"/>
        <w:bottom w:val="none" w:sz="0" w:space="0" w:color="auto"/>
        <w:right w:val="none" w:sz="0" w:space="0" w:color="auto"/>
      </w:divBdr>
      <w:divsChild>
        <w:div w:id="1848248720">
          <w:marLeft w:val="0"/>
          <w:marRight w:val="0"/>
          <w:marTop w:val="0"/>
          <w:marBottom w:val="0"/>
          <w:divBdr>
            <w:top w:val="none" w:sz="0" w:space="0" w:color="auto"/>
            <w:left w:val="none" w:sz="0" w:space="0" w:color="auto"/>
            <w:bottom w:val="none" w:sz="0" w:space="0" w:color="auto"/>
            <w:right w:val="none" w:sz="0" w:space="0" w:color="auto"/>
          </w:divBdr>
        </w:div>
        <w:div w:id="1562012467">
          <w:marLeft w:val="0"/>
          <w:marRight w:val="0"/>
          <w:marTop w:val="0"/>
          <w:marBottom w:val="0"/>
          <w:divBdr>
            <w:top w:val="none" w:sz="0" w:space="0" w:color="auto"/>
            <w:left w:val="none" w:sz="0" w:space="0" w:color="auto"/>
            <w:bottom w:val="none" w:sz="0" w:space="0" w:color="auto"/>
            <w:right w:val="none" w:sz="0" w:space="0" w:color="auto"/>
          </w:divBdr>
        </w:div>
        <w:div w:id="769544732">
          <w:marLeft w:val="0"/>
          <w:marRight w:val="0"/>
          <w:marTop w:val="0"/>
          <w:marBottom w:val="0"/>
          <w:divBdr>
            <w:top w:val="none" w:sz="0" w:space="0" w:color="auto"/>
            <w:left w:val="none" w:sz="0" w:space="0" w:color="auto"/>
            <w:bottom w:val="none" w:sz="0" w:space="0" w:color="auto"/>
            <w:right w:val="none" w:sz="0" w:space="0" w:color="auto"/>
          </w:divBdr>
        </w:div>
      </w:divsChild>
    </w:div>
    <w:div w:id="319163306">
      <w:bodyDiv w:val="1"/>
      <w:marLeft w:val="0"/>
      <w:marRight w:val="0"/>
      <w:marTop w:val="0"/>
      <w:marBottom w:val="0"/>
      <w:divBdr>
        <w:top w:val="none" w:sz="0" w:space="0" w:color="auto"/>
        <w:left w:val="none" w:sz="0" w:space="0" w:color="auto"/>
        <w:bottom w:val="none" w:sz="0" w:space="0" w:color="auto"/>
        <w:right w:val="none" w:sz="0" w:space="0" w:color="auto"/>
      </w:divBdr>
      <w:divsChild>
        <w:div w:id="800422546">
          <w:marLeft w:val="0"/>
          <w:marRight w:val="0"/>
          <w:marTop w:val="0"/>
          <w:marBottom w:val="0"/>
          <w:divBdr>
            <w:top w:val="none" w:sz="0" w:space="0" w:color="auto"/>
            <w:left w:val="none" w:sz="0" w:space="0" w:color="auto"/>
            <w:bottom w:val="none" w:sz="0" w:space="0" w:color="auto"/>
            <w:right w:val="none" w:sz="0" w:space="0" w:color="auto"/>
          </w:divBdr>
        </w:div>
        <w:div w:id="1671520769">
          <w:marLeft w:val="0"/>
          <w:marRight w:val="0"/>
          <w:marTop w:val="0"/>
          <w:marBottom w:val="0"/>
          <w:divBdr>
            <w:top w:val="none" w:sz="0" w:space="0" w:color="auto"/>
            <w:left w:val="none" w:sz="0" w:space="0" w:color="auto"/>
            <w:bottom w:val="none" w:sz="0" w:space="0" w:color="auto"/>
            <w:right w:val="none" w:sz="0" w:space="0" w:color="auto"/>
          </w:divBdr>
        </w:div>
        <w:div w:id="1832716249">
          <w:marLeft w:val="0"/>
          <w:marRight w:val="0"/>
          <w:marTop w:val="0"/>
          <w:marBottom w:val="0"/>
          <w:divBdr>
            <w:top w:val="none" w:sz="0" w:space="0" w:color="auto"/>
            <w:left w:val="none" w:sz="0" w:space="0" w:color="auto"/>
            <w:bottom w:val="none" w:sz="0" w:space="0" w:color="auto"/>
            <w:right w:val="none" w:sz="0" w:space="0" w:color="auto"/>
          </w:divBdr>
        </w:div>
      </w:divsChild>
    </w:div>
    <w:div w:id="509219531">
      <w:bodyDiv w:val="1"/>
      <w:marLeft w:val="0"/>
      <w:marRight w:val="0"/>
      <w:marTop w:val="0"/>
      <w:marBottom w:val="0"/>
      <w:divBdr>
        <w:top w:val="none" w:sz="0" w:space="0" w:color="auto"/>
        <w:left w:val="none" w:sz="0" w:space="0" w:color="auto"/>
        <w:bottom w:val="none" w:sz="0" w:space="0" w:color="auto"/>
        <w:right w:val="none" w:sz="0" w:space="0" w:color="auto"/>
      </w:divBdr>
    </w:div>
    <w:div w:id="604772470">
      <w:bodyDiv w:val="1"/>
      <w:marLeft w:val="0"/>
      <w:marRight w:val="0"/>
      <w:marTop w:val="0"/>
      <w:marBottom w:val="0"/>
      <w:divBdr>
        <w:top w:val="none" w:sz="0" w:space="0" w:color="auto"/>
        <w:left w:val="none" w:sz="0" w:space="0" w:color="auto"/>
        <w:bottom w:val="none" w:sz="0" w:space="0" w:color="auto"/>
        <w:right w:val="none" w:sz="0" w:space="0" w:color="auto"/>
      </w:divBdr>
      <w:divsChild>
        <w:div w:id="592133712">
          <w:marLeft w:val="0"/>
          <w:marRight w:val="0"/>
          <w:marTop w:val="0"/>
          <w:marBottom w:val="0"/>
          <w:divBdr>
            <w:top w:val="none" w:sz="0" w:space="0" w:color="auto"/>
            <w:left w:val="none" w:sz="0" w:space="0" w:color="auto"/>
            <w:bottom w:val="none" w:sz="0" w:space="0" w:color="auto"/>
            <w:right w:val="none" w:sz="0" w:space="0" w:color="auto"/>
          </w:divBdr>
        </w:div>
        <w:div w:id="798298230">
          <w:marLeft w:val="0"/>
          <w:marRight w:val="0"/>
          <w:marTop w:val="0"/>
          <w:marBottom w:val="0"/>
          <w:divBdr>
            <w:top w:val="none" w:sz="0" w:space="0" w:color="auto"/>
            <w:left w:val="none" w:sz="0" w:space="0" w:color="auto"/>
            <w:bottom w:val="none" w:sz="0" w:space="0" w:color="auto"/>
            <w:right w:val="none" w:sz="0" w:space="0" w:color="auto"/>
          </w:divBdr>
        </w:div>
        <w:div w:id="479422105">
          <w:marLeft w:val="0"/>
          <w:marRight w:val="0"/>
          <w:marTop w:val="0"/>
          <w:marBottom w:val="0"/>
          <w:divBdr>
            <w:top w:val="none" w:sz="0" w:space="0" w:color="auto"/>
            <w:left w:val="none" w:sz="0" w:space="0" w:color="auto"/>
            <w:bottom w:val="none" w:sz="0" w:space="0" w:color="auto"/>
            <w:right w:val="none" w:sz="0" w:space="0" w:color="auto"/>
          </w:divBdr>
        </w:div>
      </w:divsChild>
    </w:div>
    <w:div w:id="638221462">
      <w:bodyDiv w:val="1"/>
      <w:marLeft w:val="0"/>
      <w:marRight w:val="0"/>
      <w:marTop w:val="0"/>
      <w:marBottom w:val="0"/>
      <w:divBdr>
        <w:top w:val="none" w:sz="0" w:space="0" w:color="auto"/>
        <w:left w:val="none" w:sz="0" w:space="0" w:color="auto"/>
        <w:bottom w:val="none" w:sz="0" w:space="0" w:color="auto"/>
        <w:right w:val="none" w:sz="0" w:space="0" w:color="auto"/>
      </w:divBdr>
      <w:divsChild>
        <w:div w:id="320619389">
          <w:marLeft w:val="0"/>
          <w:marRight w:val="0"/>
          <w:marTop w:val="0"/>
          <w:marBottom w:val="0"/>
          <w:divBdr>
            <w:top w:val="none" w:sz="0" w:space="0" w:color="auto"/>
            <w:left w:val="none" w:sz="0" w:space="0" w:color="auto"/>
            <w:bottom w:val="none" w:sz="0" w:space="0" w:color="auto"/>
            <w:right w:val="none" w:sz="0" w:space="0" w:color="auto"/>
          </w:divBdr>
        </w:div>
        <w:div w:id="530462814">
          <w:marLeft w:val="0"/>
          <w:marRight w:val="0"/>
          <w:marTop w:val="0"/>
          <w:marBottom w:val="0"/>
          <w:divBdr>
            <w:top w:val="none" w:sz="0" w:space="0" w:color="auto"/>
            <w:left w:val="none" w:sz="0" w:space="0" w:color="auto"/>
            <w:bottom w:val="none" w:sz="0" w:space="0" w:color="auto"/>
            <w:right w:val="none" w:sz="0" w:space="0" w:color="auto"/>
          </w:divBdr>
        </w:div>
        <w:div w:id="5910857">
          <w:marLeft w:val="0"/>
          <w:marRight w:val="0"/>
          <w:marTop w:val="0"/>
          <w:marBottom w:val="0"/>
          <w:divBdr>
            <w:top w:val="none" w:sz="0" w:space="0" w:color="auto"/>
            <w:left w:val="none" w:sz="0" w:space="0" w:color="auto"/>
            <w:bottom w:val="none" w:sz="0" w:space="0" w:color="auto"/>
            <w:right w:val="none" w:sz="0" w:space="0" w:color="auto"/>
          </w:divBdr>
        </w:div>
        <w:div w:id="1385058591">
          <w:marLeft w:val="0"/>
          <w:marRight w:val="0"/>
          <w:marTop w:val="0"/>
          <w:marBottom w:val="0"/>
          <w:divBdr>
            <w:top w:val="none" w:sz="0" w:space="0" w:color="auto"/>
            <w:left w:val="none" w:sz="0" w:space="0" w:color="auto"/>
            <w:bottom w:val="none" w:sz="0" w:space="0" w:color="auto"/>
            <w:right w:val="none" w:sz="0" w:space="0" w:color="auto"/>
          </w:divBdr>
        </w:div>
      </w:divsChild>
    </w:div>
    <w:div w:id="824904296">
      <w:bodyDiv w:val="1"/>
      <w:marLeft w:val="0"/>
      <w:marRight w:val="0"/>
      <w:marTop w:val="0"/>
      <w:marBottom w:val="0"/>
      <w:divBdr>
        <w:top w:val="none" w:sz="0" w:space="0" w:color="auto"/>
        <w:left w:val="none" w:sz="0" w:space="0" w:color="auto"/>
        <w:bottom w:val="none" w:sz="0" w:space="0" w:color="auto"/>
        <w:right w:val="none" w:sz="0" w:space="0" w:color="auto"/>
      </w:divBdr>
      <w:divsChild>
        <w:div w:id="682827835">
          <w:marLeft w:val="0"/>
          <w:marRight w:val="0"/>
          <w:marTop w:val="0"/>
          <w:marBottom w:val="0"/>
          <w:divBdr>
            <w:top w:val="none" w:sz="0" w:space="0" w:color="auto"/>
            <w:left w:val="none" w:sz="0" w:space="0" w:color="auto"/>
            <w:bottom w:val="none" w:sz="0" w:space="0" w:color="auto"/>
            <w:right w:val="none" w:sz="0" w:space="0" w:color="auto"/>
          </w:divBdr>
        </w:div>
        <w:div w:id="435634101">
          <w:marLeft w:val="0"/>
          <w:marRight w:val="0"/>
          <w:marTop w:val="0"/>
          <w:marBottom w:val="0"/>
          <w:divBdr>
            <w:top w:val="none" w:sz="0" w:space="0" w:color="auto"/>
            <w:left w:val="none" w:sz="0" w:space="0" w:color="auto"/>
            <w:bottom w:val="none" w:sz="0" w:space="0" w:color="auto"/>
            <w:right w:val="none" w:sz="0" w:space="0" w:color="auto"/>
          </w:divBdr>
        </w:div>
        <w:div w:id="287859234">
          <w:marLeft w:val="0"/>
          <w:marRight w:val="0"/>
          <w:marTop w:val="0"/>
          <w:marBottom w:val="0"/>
          <w:divBdr>
            <w:top w:val="none" w:sz="0" w:space="0" w:color="auto"/>
            <w:left w:val="none" w:sz="0" w:space="0" w:color="auto"/>
            <w:bottom w:val="none" w:sz="0" w:space="0" w:color="auto"/>
            <w:right w:val="none" w:sz="0" w:space="0" w:color="auto"/>
          </w:divBdr>
        </w:div>
        <w:div w:id="1151292717">
          <w:marLeft w:val="0"/>
          <w:marRight w:val="0"/>
          <w:marTop w:val="0"/>
          <w:marBottom w:val="0"/>
          <w:divBdr>
            <w:top w:val="none" w:sz="0" w:space="0" w:color="auto"/>
            <w:left w:val="none" w:sz="0" w:space="0" w:color="auto"/>
            <w:bottom w:val="none" w:sz="0" w:space="0" w:color="auto"/>
            <w:right w:val="none" w:sz="0" w:space="0" w:color="auto"/>
          </w:divBdr>
        </w:div>
      </w:divsChild>
    </w:div>
    <w:div w:id="1000962480">
      <w:bodyDiv w:val="1"/>
      <w:marLeft w:val="0"/>
      <w:marRight w:val="0"/>
      <w:marTop w:val="0"/>
      <w:marBottom w:val="0"/>
      <w:divBdr>
        <w:top w:val="none" w:sz="0" w:space="0" w:color="auto"/>
        <w:left w:val="none" w:sz="0" w:space="0" w:color="auto"/>
        <w:bottom w:val="none" w:sz="0" w:space="0" w:color="auto"/>
        <w:right w:val="none" w:sz="0" w:space="0" w:color="auto"/>
      </w:divBdr>
    </w:div>
    <w:div w:id="1164518070">
      <w:bodyDiv w:val="1"/>
      <w:marLeft w:val="0"/>
      <w:marRight w:val="0"/>
      <w:marTop w:val="0"/>
      <w:marBottom w:val="0"/>
      <w:divBdr>
        <w:top w:val="none" w:sz="0" w:space="0" w:color="auto"/>
        <w:left w:val="none" w:sz="0" w:space="0" w:color="auto"/>
        <w:bottom w:val="none" w:sz="0" w:space="0" w:color="auto"/>
        <w:right w:val="none" w:sz="0" w:space="0" w:color="auto"/>
      </w:divBdr>
      <w:divsChild>
        <w:div w:id="328681429">
          <w:marLeft w:val="0"/>
          <w:marRight w:val="0"/>
          <w:marTop w:val="0"/>
          <w:marBottom w:val="0"/>
          <w:divBdr>
            <w:top w:val="none" w:sz="0" w:space="0" w:color="auto"/>
            <w:left w:val="none" w:sz="0" w:space="0" w:color="auto"/>
            <w:bottom w:val="none" w:sz="0" w:space="0" w:color="auto"/>
            <w:right w:val="none" w:sz="0" w:space="0" w:color="auto"/>
          </w:divBdr>
        </w:div>
        <w:div w:id="1665739980">
          <w:marLeft w:val="0"/>
          <w:marRight w:val="0"/>
          <w:marTop w:val="0"/>
          <w:marBottom w:val="0"/>
          <w:divBdr>
            <w:top w:val="none" w:sz="0" w:space="0" w:color="auto"/>
            <w:left w:val="none" w:sz="0" w:space="0" w:color="auto"/>
            <w:bottom w:val="none" w:sz="0" w:space="0" w:color="auto"/>
            <w:right w:val="none" w:sz="0" w:space="0" w:color="auto"/>
          </w:divBdr>
        </w:div>
        <w:div w:id="329213691">
          <w:marLeft w:val="0"/>
          <w:marRight w:val="0"/>
          <w:marTop w:val="0"/>
          <w:marBottom w:val="0"/>
          <w:divBdr>
            <w:top w:val="none" w:sz="0" w:space="0" w:color="auto"/>
            <w:left w:val="none" w:sz="0" w:space="0" w:color="auto"/>
            <w:bottom w:val="none" w:sz="0" w:space="0" w:color="auto"/>
            <w:right w:val="none" w:sz="0" w:space="0" w:color="auto"/>
          </w:divBdr>
        </w:div>
      </w:divsChild>
    </w:div>
    <w:div w:id="1315452077">
      <w:bodyDiv w:val="1"/>
      <w:marLeft w:val="0"/>
      <w:marRight w:val="0"/>
      <w:marTop w:val="0"/>
      <w:marBottom w:val="0"/>
      <w:divBdr>
        <w:top w:val="none" w:sz="0" w:space="0" w:color="auto"/>
        <w:left w:val="none" w:sz="0" w:space="0" w:color="auto"/>
        <w:bottom w:val="none" w:sz="0" w:space="0" w:color="auto"/>
        <w:right w:val="none" w:sz="0" w:space="0" w:color="auto"/>
      </w:divBdr>
    </w:div>
    <w:div w:id="1366952950">
      <w:bodyDiv w:val="1"/>
      <w:marLeft w:val="0"/>
      <w:marRight w:val="0"/>
      <w:marTop w:val="0"/>
      <w:marBottom w:val="0"/>
      <w:divBdr>
        <w:top w:val="none" w:sz="0" w:space="0" w:color="auto"/>
        <w:left w:val="none" w:sz="0" w:space="0" w:color="auto"/>
        <w:bottom w:val="none" w:sz="0" w:space="0" w:color="auto"/>
        <w:right w:val="none" w:sz="0" w:space="0" w:color="auto"/>
      </w:divBdr>
      <w:divsChild>
        <w:div w:id="279924526">
          <w:marLeft w:val="0"/>
          <w:marRight w:val="0"/>
          <w:marTop w:val="0"/>
          <w:marBottom w:val="0"/>
          <w:divBdr>
            <w:top w:val="none" w:sz="0" w:space="0" w:color="auto"/>
            <w:left w:val="none" w:sz="0" w:space="0" w:color="auto"/>
            <w:bottom w:val="none" w:sz="0" w:space="0" w:color="auto"/>
            <w:right w:val="none" w:sz="0" w:space="0" w:color="auto"/>
          </w:divBdr>
        </w:div>
        <w:div w:id="1033654307">
          <w:marLeft w:val="0"/>
          <w:marRight w:val="0"/>
          <w:marTop w:val="0"/>
          <w:marBottom w:val="0"/>
          <w:divBdr>
            <w:top w:val="none" w:sz="0" w:space="0" w:color="auto"/>
            <w:left w:val="none" w:sz="0" w:space="0" w:color="auto"/>
            <w:bottom w:val="none" w:sz="0" w:space="0" w:color="auto"/>
            <w:right w:val="none" w:sz="0" w:space="0" w:color="auto"/>
          </w:divBdr>
        </w:div>
        <w:div w:id="1900284707">
          <w:marLeft w:val="0"/>
          <w:marRight w:val="0"/>
          <w:marTop w:val="0"/>
          <w:marBottom w:val="0"/>
          <w:divBdr>
            <w:top w:val="none" w:sz="0" w:space="0" w:color="auto"/>
            <w:left w:val="none" w:sz="0" w:space="0" w:color="auto"/>
            <w:bottom w:val="none" w:sz="0" w:space="0" w:color="auto"/>
            <w:right w:val="none" w:sz="0" w:space="0" w:color="auto"/>
          </w:divBdr>
        </w:div>
      </w:divsChild>
    </w:div>
    <w:div w:id="1384599500">
      <w:bodyDiv w:val="1"/>
      <w:marLeft w:val="0"/>
      <w:marRight w:val="0"/>
      <w:marTop w:val="0"/>
      <w:marBottom w:val="0"/>
      <w:divBdr>
        <w:top w:val="none" w:sz="0" w:space="0" w:color="auto"/>
        <w:left w:val="none" w:sz="0" w:space="0" w:color="auto"/>
        <w:bottom w:val="none" w:sz="0" w:space="0" w:color="auto"/>
        <w:right w:val="none" w:sz="0" w:space="0" w:color="auto"/>
      </w:divBdr>
    </w:div>
    <w:div w:id="1626816634">
      <w:bodyDiv w:val="1"/>
      <w:marLeft w:val="0"/>
      <w:marRight w:val="0"/>
      <w:marTop w:val="0"/>
      <w:marBottom w:val="0"/>
      <w:divBdr>
        <w:top w:val="none" w:sz="0" w:space="0" w:color="auto"/>
        <w:left w:val="none" w:sz="0" w:space="0" w:color="auto"/>
        <w:bottom w:val="none" w:sz="0" w:space="0" w:color="auto"/>
        <w:right w:val="none" w:sz="0" w:space="0" w:color="auto"/>
      </w:divBdr>
      <w:divsChild>
        <w:div w:id="2058817925">
          <w:marLeft w:val="0"/>
          <w:marRight w:val="0"/>
          <w:marTop w:val="0"/>
          <w:marBottom w:val="0"/>
          <w:divBdr>
            <w:top w:val="none" w:sz="0" w:space="0" w:color="auto"/>
            <w:left w:val="none" w:sz="0" w:space="0" w:color="auto"/>
            <w:bottom w:val="none" w:sz="0" w:space="0" w:color="auto"/>
            <w:right w:val="none" w:sz="0" w:space="0" w:color="auto"/>
          </w:divBdr>
        </w:div>
        <w:div w:id="629288900">
          <w:marLeft w:val="0"/>
          <w:marRight w:val="0"/>
          <w:marTop w:val="0"/>
          <w:marBottom w:val="0"/>
          <w:divBdr>
            <w:top w:val="none" w:sz="0" w:space="0" w:color="auto"/>
            <w:left w:val="none" w:sz="0" w:space="0" w:color="auto"/>
            <w:bottom w:val="none" w:sz="0" w:space="0" w:color="auto"/>
            <w:right w:val="none" w:sz="0" w:space="0" w:color="auto"/>
          </w:divBdr>
        </w:div>
        <w:div w:id="20978742">
          <w:marLeft w:val="0"/>
          <w:marRight w:val="0"/>
          <w:marTop w:val="0"/>
          <w:marBottom w:val="0"/>
          <w:divBdr>
            <w:top w:val="none" w:sz="0" w:space="0" w:color="auto"/>
            <w:left w:val="none" w:sz="0" w:space="0" w:color="auto"/>
            <w:bottom w:val="none" w:sz="0" w:space="0" w:color="auto"/>
            <w:right w:val="none" w:sz="0" w:space="0" w:color="auto"/>
          </w:divBdr>
        </w:div>
        <w:div w:id="1115639966">
          <w:marLeft w:val="0"/>
          <w:marRight w:val="0"/>
          <w:marTop w:val="0"/>
          <w:marBottom w:val="0"/>
          <w:divBdr>
            <w:top w:val="none" w:sz="0" w:space="0" w:color="auto"/>
            <w:left w:val="none" w:sz="0" w:space="0" w:color="auto"/>
            <w:bottom w:val="none" w:sz="0" w:space="0" w:color="auto"/>
            <w:right w:val="none" w:sz="0" w:space="0" w:color="auto"/>
          </w:divBdr>
        </w:div>
      </w:divsChild>
    </w:div>
    <w:div w:id="1792436922">
      <w:bodyDiv w:val="1"/>
      <w:marLeft w:val="0"/>
      <w:marRight w:val="0"/>
      <w:marTop w:val="0"/>
      <w:marBottom w:val="0"/>
      <w:divBdr>
        <w:top w:val="none" w:sz="0" w:space="0" w:color="auto"/>
        <w:left w:val="none" w:sz="0" w:space="0" w:color="auto"/>
        <w:bottom w:val="none" w:sz="0" w:space="0" w:color="auto"/>
        <w:right w:val="none" w:sz="0" w:space="0" w:color="auto"/>
      </w:divBdr>
    </w:div>
    <w:div w:id="203746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sqa.org.uk%2Fsqa%2F91418.html&amp;data=04%7C01%7CAlastair.Duthie%40sqa.org.uk%7Cb70069a0178242a09ebe08d92a51a161%7C2bc4b4d8b4154f6c8bb82c2985d7171f%7C0%7C0%7C637587352459991587%7CUnknown%7CTWFpbGZsb3d8eyJWIjoiMC4wLjAwMDAiLCJQIjoiV2luMzIiLCJBTiI6Ik1haWwiLCJXVCI6Mn0%3D%7C1000&amp;sdata=DO0XS%2FZD7PgB570Xn08hOklitkowEXM1LN4jh%2Bthb8k%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sqa.org.uk/files_ccc/A_Guide_to_Setting_Grade_Boundaries_v1.3.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1.safelinks.protection.outlook.com/?url=https%3A%2F%2Fwww.sqa.org.uk%2Fsqa%2F45625.3728.html&amp;data=04%7C01%7CAlastair.Duthie%40sqa.org.uk%7Cb70069a0178242a09ebe08d92a51a161%7C2bc4b4d8b4154f6c8bb82c2985d7171f%7C0%7C0%7C637587352460001539%7CUnknown%7CTWFpbGZsb3d8eyJWIjoiMC4wLjAwMDAiLCJQIjoiV2luMzIiLCJBTiI6Ik1haWwiLCJXVCI6Mn0%3D%7C1000&amp;sdata=qLNc5AOi6Vl864Cm8Xhmq7wmfRS2ywd68a5n5Y5J2DE%3D&amp;reserved=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ur01.safelinks.protection.outlook.com/?url=https%3A%2F%2Fwww.sqa.org.uk%2Ffiles_ccc%2F2019N5CourseReportEnglish.pdf&amp;data=04%7C01%7CAlastair.Duthie%40sqa.org.uk%7Cb70069a0178242a09ebe08d92a51a161%7C2bc4b4d8b4154f6c8bb82c2985d7171f%7C0%7C0%7C637587352460001539%7CUnknown%7CTWFpbGZsb3d8eyJWIjoiMC4wLjAwMDAiLCJQIjoiV2luMzIiLCJBTiI6Ik1haWwiLCJXVCI6Mn0%3D%7C1000&amp;sdata=cQrrSbPqqsuzCeOJDNNnsWGVtbqscMyNmAJUpiy8WXI%3D&amp;reserved=0" TargetMode="External"/><Relationship Id="rId4" Type="http://schemas.openxmlformats.org/officeDocument/2006/relationships/webSettings" Target="webSettings.xml"/><Relationship Id="rId9" Type="http://schemas.openxmlformats.org/officeDocument/2006/relationships/hyperlink" Target="https://eur01.safelinks.protection.outlook.com/?url=https%3A%2F%2Fwww.sqa.org.uk%2Fsqa%2Ffiles_ccc%2FA_Guide_to_Setting_Grade_Boundaries_v1.3.pdf&amp;data=04%7C01%7CAlastair.Duthie%40sqa.org.uk%7Cb70069a0178242a09ebe08d92a51a161%7C2bc4b4d8b4154f6c8bb82c2985d7171f%7C0%7C0%7C637587352459991587%7CUnknown%7CTWFpbGZsb3d8eyJWIjoiMC4wLjAwMDAiLCJQIjoiV2luMzIiLCJBTiI6Ik1haWwiLCJXVCI6Mn0%3D%7C1000&amp;sdata=lveHr0eBeY1quXYL6MGZ1Yfi8O7oVC06iQwEEXpNIMs%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Duthie</dc:creator>
  <cp:keywords/>
  <dc:description/>
  <cp:lastModifiedBy>Alyson Barrie</cp:lastModifiedBy>
  <cp:revision>2</cp:revision>
  <dcterms:created xsi:type="dcterms:W3CDTF">2021-06-25T14:19:00Z</dcterms:created>
  <dcterms:modified xsi:type="dcterms:W3CDTF">2021-06-25T14:19:00Z</dcterms:modified>
</cp:coreProperties>
</file>