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7421E" w14:textId="77777777" w:rsidR="00354A42" w:rsidRDefault="00354A42" w:rsidP="00354A42">
      <w:pPr>
        <w:jc w:val="both"/>
      </w:pPr>
      <w:r>
        <w:rPr>
          <w:rFonts w:ascii="Arial" w:hAnsi="Arial" w:cs="Arial"/>
          <w:sz w:val="20"/>
          <w:szCs w:val="20"/>
          <w:lang w:eastAsia="en-GB"/>
        </w:rPr>
        <w:t>The SQA budget agreed by the Board of Management on 18 March 2021 was fully funded and assumed delivery of the Alternative Certification Model for 2021 and assumes preparations for an exam diet for National Qualifications in 2022 as well as the continuation of other SQA activities. The total budgeted gross expenditure for SQA in 2021-22 is £88 million (£83.6 million resource and £4.4 million capital). This is £7.2 million less than the opening budget agreed for 2020-21. This expenditure is funded from qualifications entry income and other operating income of £46.1 million and Scottish Government Grant in Aid of £41.9 million of which £4.4 million relates to capital funding (Scottish Government Grant is £7.2 million less than contained in the opening budget agreed in 2020-21). The position will be monitored through the year and any reduction in anticipated expenditure would result in a reduction in the agreed grant in aid drawn down from the Scottish Government as was the case in 2020-21.    </w:t>
      </w:r>
    </w:p>
    <w:p w14:paraId="3BA06120" w14:textId="77777777" w:rsidR="00354A42" w:rsidRDefault="00354A42" w:rsidP="00354A42">
      <w:pPr>
        <w:ind w:left="360" w:hanging="360"/>
        <w:textAlignment w:val="baseline"/>
      </w:pPr>
    </w:p>
    <w:p w14:paraId="12BAD581" w14:textId="77777777" w:rsidR="00354A42" w:rsidRDefault="00354A42" w:rsidP="00354A42">
      <w:pPr>
        <w:numPr>
          <w:ilvl w:val="0"/>
          <w:numId w:val="5"/>
        </w:numPr>
        <w:textAlignment w:val="baseline"/>
        <w:rPr>
          <w:rFonts w:eastAsia="Times New Roman"/>
          <w:lang w:eastAsia="en-GB"/>
        </w:rPr>
      </w:pPr>
      <w:proofErr w:type="gramStart"/>
      <w:r>
        <w:rPr>
          <w:rFonts w:eastAsia="Times New Roman"/>
          <w:b/>
          <w:bCs/>
          <w:i/>
          <w:iCs/>
          <w:color w:val="FF0000"/>
          <w:lang w:eastAsia="en-GB"/>
        </w:rPr>
        <w:t>Therefore</w:t>
      </w:r>
      <w:proofErr w:type="gramEnd"/>
      <w:r>
        <w:rPr>
          <w:rFonts w:eastAsia="Times New Roman"/>
          <w:b/>
          <w:bCs/>
          <w:i/>
          <w:iCs/>
          <w:color w:val="FF0000"/>
          <w:lang w:eastAsia="en-GB"/>
        </w:rPr>
        <w:t> could you please outline how much the alternative certification model is expected to cost this year and break this figure down into the key costs the SQA expects to incur, including how much it expects the appeals process to cost in 2021 and how much has been budgeted for quality assurance and evidence gathering. </w:t>
      </w:r>
      <w:r>
        <w:rPr>
          <w:rFonts w:eastAsia="Times New Roman"/>
          <w:color w:val="FF0000"/>
          <w:lang w:eastAsia="en-GB"/>
        </w:rPr>
        <w:t> </w:t>
      </w:r>
    </w:p>
    <w:p w14:paraId="249D7747" w14:textId="77777777" w:rsidR="00354A42" w:rsidRDefault="00354A42" w:rsidP="00354A42"/>
    <w:p w14:paraId="47F5A839" w14:textId="77777777" w:rsidR="00354A42" w:rsidRDefault="00354A42" w:rsidP="00354A42">
      <w:pPr>
        <w:textAlignment w:val="baseline"/>
        <w:rPr>
          <w:lang w:eastAsia="en-GB"/>
        </w:rPr>
      </w:pPr>
      <w:r>
        <w:rPr>
          <w:lang w:eastAsia="en-GB"/>
        </w:rPr>
        <w:t>Planning for the 2021 awarding model commenced in October 2020 following the announcement of the cancellation of National 5 exams and the subsequent cancellation of Highers and Advanced Highers and will continue in FY 21/22 until processes are concluded. The total cost of delivering the Alternative Certification Model, therefore spans 2 financial years and is made up of actual spend incurred in 2020-21 and anticipated spend in 2021-22.      </w:t>
      </w:r>
    </w:p>
    <w:p w14:paraId="36436CD9" w14:textId="77777777" w:rsidR="00354A42" w:rsidRDefault="00354A42" w:rsidP="00354A42">
      <w:pPr>
        <w:textAlignment w:val="baseline"/>
        <w:rPr>
          <w:lang w:eastAsia="en-GB"/>
        </w:rPr>
      </w:pPr>
      <w:r>
        <w:rPr>
          <w:lang w:eastAsia="en-GB"/>
        </w:rPr>
        <w:t> </w:t>
      </w:r>
    </w:p>
    <w:p w14:paraId="53B38803" w14:textId="77777777" w:rsidR="00354A42" w:rsidRDefault="00354A42" w:rsidP="00354A42">
      <w:pPr>
        <w:textAlignment w:val="baseline"/>
        <w:rPr>
          <w:lang w:eastAsia="en-GB"/>
        </w:rPr>
      </w:pPr>
      <w:r>
        <w:rPr>
          <w:lang w:eastAsia="en-GB"/>
        </w:rPr>
        <w:t xml:space="preserve">Please note that consistent with previous information released, that the table includes only the directly identifiable costs of delivering the 2021 Alternative Certification Model and therefore excludes permanent SQA staff, </w:t>
      </w:r>
      <w:proofErr w:type="gramStart"/>
      <w:r>
        <w:rPr>
          <w:lang w:eastAsia="en-GB"/>
        </w:rPr>
        <w:t>overheads</w:t>
      </w:r>
      <w:proofErr w:type="gramEnd"/>
      <w:r>
        <w:rPr>
          <w:lang w:eastAsia="en-GB"/>
        </w:rPr>
        <w:t xml:space="preserve"> and other indirect costs. This means that the cost information is not directly comparable with levy income or other qualification entry income. The current estimated cost of delivery of the ACM for 2021 is £6.976 million including £0.639 million for quality assurance, a provision of £2.609 million for appeals, £2.195 million for IT related changes and £1.533 million for other delivery costs. Other delivery costs </w:t>
      </w:r>
      <w:proofErr w:type="gramStart"/>
      <w:r>
        <w:rPr>
          <w:lang w:eastAsia="en-GB"/>
        </w:rPr>
        <w:t>includes</w:t>
      </w:r>
      <w:proofErr w:type="gramEnd"/>
      <w:r>
        <w:rPr>
          <w:lang w:eastAsia="en-GB"/>
        </w:rPr>
        <w:t xml:space="preserve"> activities such as marketing, amendments to qualifications and assessments, as well as any additional staff roles created specifically for the purpose of delivering Awarding 2021. </w:t>
      </w:r>
    </w:p>
    <w:p w14:paraId="2975CA5C" w14:textId="77777777" w:rsidR="00354A42" w:rsidRDefault="00354A42" w:rsidP="00354A42">
      <w:pPr>
        <w:textAlignment w:val="baseline"/>
        <w:rPr>
          <w:lang w:eastAsia="en-GB"/>
        </w:rPr>
      </w:pPr>
    </w:p>
    <w:p w14:paraId="26E0FB26" w14:textId="77777777" w:rsidR="00354A42" w:rsidRDefault="00354A42" w:rsidP="00354A42">
      <w:pPr>
        <w:pStyle w:val="ListParagraph"/>
        <w:numPr>
          <w:ilvl w:val="0"/>
          <w:numId w:val="5"/>
        </w:numPr>
        <w:textAlignment w:val="baseline"/>
        <w:rPr>
          <w:lang w:eastAsia="en-GB"/>
        </w:rPr>
      </w:pPr>
      <w:r>
        <w:rPr>
          <w:b/>
          <w:bCs/>
          <w:i/>
          <w:iCs/>
          <w:color w:val="FF0000"/>
          <w:lang w:eastAsia="en-GB"/>
        </w:rPr>
        <w:t>Could you also provide information on how these costs will be covered and outline SQA’s main sources of income, including SQA’s main sources of income for the previous two years so </w:t>
      </w:r>
      <w:proofErr w:type="gramStart"/>
      <w:r>
        <w:rPr>
          <w:b/>
          <w:bCs/>
          <w:i/>
          <w:iCs/>
          <w:color w:val="FF0000"/>
          <w:lang w:eastAsia="en-GB"/>
        </w:rPr>
        <w:t>it’s</w:t>
      </w:r>
      <w:proofErr w:type="gramEnd"/>
      <w:r>
        <w:rPr>
          <w:b/>
          <w:bCs/>
          <w:i/>
          <w:iCs/>
          <w:color w:val="FF0000"/>
          <w:lang w:eastAsia="en-GB"/>
        </w:rPr>
        <w:t> possible to make a comparison between the body’s funding this year as compared to previous years?</w:t>
      </w:r>
      <w:r>
        <w:rPr>
          <w:lang w:eastAsia="en-GB"/>
        </w:rPr>
        <w:t>  </w:t>
      </w:r>
    </w:p>
    <w:p w14:paraId="200F9E79" w14:textId="77777777" w:rsidR="00354A42" w:rsidRDefault="00354A42" w:rsidP="00354A42"/>
    <w:p w14:paraId="123F4E3E" w14:textId="77777777" w:rsidR="00354A42" w:rsidRDefault="00354A42" w:rsidP="00354A42">
      <w:pPr>
        <w:jc w:val="both"/>
        <w:textAlignment w:val="baseline"/>
        <w:rPr>
          <w:lang w:eastAsia="en-GB"/>
        </w:rPr>
      </w:pPr>
      <w:r>
        <w:rPr>
          <w:lang w:eastAsia="en-GB"/>
        </w:rPr>
        <w:t>The income SQA receives for National Qualifications</w:t>
      </w:r>
      <w:r>
        <w:t xml:space="preserve"> </w:t>
      </w:r>
      <w:r>
        <w:rPr>
          <w:lang w:eastAsia="en-GB"/>
        </w:rPr>
        <w:t>only provides a contribution towards the total costs of awarding National Qualifications. This income is primarily from a levy of circa £24.5 million paid by local authorities.</w:t>
      </w:r>
      <w:r>
        <w:t xml:space="preserve"> </w:t>
      </w:r>
      <w:r>
        <w:rPr>
          <w:lang w:eastAsia="en-GB"/>
        </w:rPr>
        <w:t xml:space="preserve">Candidate entry fees are also paid by colleges and third parties including independent schools who wish to be certified for qualifications. The balance of SQA’s costs </w:t>
      </w:r>
      <w:proofErr w:type="gramStart"/>
      <w:r>
        <w:rPr>
          <w:lang w:eastAsia="en-GB"/>
        </w:rPr>
        <w:t>are</w:t>
      </w:r>
      <w:proofErr w:type="gramEnd"/>
      <w:r>
        <w:rPr>
          <w:lang w:eastAsia="en-GB"/>
        </w:rPr>
        <w:t xml:space="preserve"> met by the contribution provided via commercial income and Grant in Aid from the Scottish Government. The value of the levy and the cost of entry fees have remained unchanged since 2012-13 and therefore the levels reported for the last few years remains relatively static. A breakdown for FYs 19/20, 20/21 and 21/22 (budgeted) is shown in the table below. The figures quoted exclude budget provided by the government to cover the costs of depreciation.  </w:t>
      </w:r>
    </w:p>
    <w:p w14:paraId="21A9628A" w14:textId="77777777" w:rsidR="00354A42" w:rsidRDefault="00354A42" w:rsidP="00354A42">
      <w:pPr>
        <w:jc w:val="both"/>
        <w:textAlignment w:val="baseline"/>
        <w:rPr>
          <w:lang w:eastAsia="en-GB"/>
        </w:rPr>
      </w:pPr>
    </w:p>
    <w:p w14:paraId="7A35FC94" w14:textId="77777777" w:rsidR="00354A42" w:rsidRDefault="00354A42" w:rsidP="00354A42">
      <w:pPr>
        <w:textAlignment w:val="baseline"/>
        <w:rPr>
          <w:lang w:eastAsia="en-GB"/>
        </w:rPr>
      </w:pPr>
      <w:r>
        <w:rPr>
          <w:lang w:eastAsia="en-GB"/>
        </w:rPr>
        <w:t>As noted above these costs are largely fixed and have not reduced </w:t>
      </w:r>
      <w:proofErr w:type="gramStart"/>
      <w:r>
        <w:rPr>
          <w:lang w:eastAsia="en-GB"/>
        </w:rPr>
        <w:t>as a result of</w:t>
      </w:r>
      <w:proofErr w:type="gramEnd"/>
      <w:r>
        <w:rPr>
          <w:lang w:eastAsia="en-GB"/>
        </w:rPr>
        <w:t> the cancellation of the exam diet and need to continue to be funded. Therefore, although the NQ income stated below is more than the current anticipated additional costs of the 2021 Awarding model the figures are not comparable. </w:t>
      </w:r>
    </w:p>
    <w:p w14:paraId="0427BFAB" w14:textId="77777777" w:rsidR="00354A42" w:rsidRDefault="00354A42" w:rsidP="00354A42">
      <w:pPr>
        <w:textAlignment w:val="baseline"/>
        <w:rPr>
          <w:lang w:eastAsia="en-GB"/>
        </w:rPr>
      </w:pPr>
    </w:p>
    <w:tbl>
      <w:tblPr>
        <w:tblW w:w="9260" w:type="dxa"/>
        <w:tblInd w:w="-3" w:type="dxa"/>
        <w:tblCellMar>
          <w:left w:w="0" w:type="dxa"/>
          <w:right w:w="0" w:type="dxa"/>
        </w:tblCellMar>
        <w:tblLook w:val="04A0" w:firstRow="1" w:lastRow="0" w:firstColumn="1" w:lastColumn="0" w:noHBand="0" w:noVBand="1"/>
      </w:tblPr>
      <w:tblGrid>
        <w:gridCol w:w="4360"/>
        <w:gridCol w:w="1300"/>
        <w:gridCol w:w="1340"/>
        <w:gridCol w:w="1300"/>
        <w:gridCol w:w="960"/>
      </w:tblGrid>
      <w:tr w:rsidR="00354A42" w14:paraId="6B35002F" w14:textId="77777777" w:rsidTr="00354A42">
        <w:trPr>
          <w:trHeight w:val="300"/>
        </w:trPr>
        <w:tc>
          <w:tcPr>
            <w:tcW w:w="4360" w:type="dxa"/>
            <w:vMerge w:val="restart"/>
            <w:tcBorders>
              <w:top w:val="single" w:sz="8" w:space="0" w:color="000000"/>
              <w:left w:val="single" w:sz="8" w:space="0" w:color="000000"/>
              <w:bottom w:val="single" w:sz="8" w:space="0" w:color="000000"/>
              <w:right w:val="single" w:sz="8" w:space="0" w:color="auto"/>
            </w:tcBorders>
            <w:shd w:val="clear" w:color="auto" w:fill="366092"/>
            <w:tcMar>
              <w:top w:w="0" w:type="dxa"/>
              <w:left w:w="108" w:type="dxa"/>
              <w:bottom w:w="0" w:type="dxa"/>
              <w:right w:w="108" w:type="dxa"/>
            </w:tcMar>
            <w:vAlign w:val="center"/>
            <w:hideMark/>
          </w:tcPr>
          <w:p w14:paraId="03F0A704" w14:textId="77777777" w:rsidR="00354A42" w:rsidRDefault="00354A42">
            <w:pPr>
              <w:jc w:val="center"/>
              <w:rPr>
                <w:b/>
                <w:bCs/>
                <w:color w:val="FFFFFF"/>
                <w:lang w:eastAsia="en-GB"/>
              </w:rPr>
            </w:pPr>
            <w:r>
              <w:rPr>
                <w:b/>
                <w:bCs/>
                <w:color w:val="FFFFFF"/>
                <w:lang w:eastAsia="en-GB"/>
              </w:rPr>
              <w:t>Main Sources of Income</w:t>
            </w:r>
            <w:r>
              <w:rPr>
                <w:color w:val="FFFFFF"/>
                <w:lang w:eastAsia="en-GB"/>
              </w:rPr>
              <w:t> </w:t>
            </w:r>
          </w:p>
        </w:tc>
        <w:tc>
          <w:tcPr>
            <w:tcW w:w="1300" w:type="dxa"/>
            <w:tcBorders>
              <w:top w:val="single" w:sz="8" w:space="0" w:color="000000"/>
              <w:left w:val="nil"/>
              <w:bottom w:val="nil"/>
              <w:right w:val="single" w:sz="8" w:space="0" w:color="auto"/>
            </w:tcBorders>
            <w:shd w:val="clear" w:color="auto" w:fill="366092"/>
            <w:tcMar>
              <w:top w:w="0" w:type="dxa"/>
              <w:left w:w="108" w:type="dxa"/>
              <w:bottom w:w="0" w:type="dxa"/>
              <w:right w:w="108" w:type="dxa"/>
            </w:tcMar>
            <w:vAlign w:val="center"/>
            <w:hideMark/>
          </w:tcPr>
          <w:p w14:paraId="4243F827" w14:textId="77777777" w:rsidR="00354A42" w:rsidRDefault="00354A42">
            <w:pPr>
              <w:jc w:val="both"/>
              <w:rPr>
                <w:b/>
                <w:bCs/>
                <w:color w:val="FFFFFF"/>
                <w:lang w:eastAsia="en-GB"/>
              </w:rPr>
            </w:pPr>
            <w:r>
              <w:rPr>
                <w:b/>
                <w:bCs/>
                <w:color w:val="FFFFFF"/>
                <w:lang w:eastAsia="en-GB"/>
              </w:rPr>
              <w:t>FY 21/22</w:t>
            </w:r>
            <w:r>
              <w:rPr>
                <w:color w:val="FFFFFF"/>
                <w:lang w:eastAsia="en-GB"/>
              </w:rPr>
              <w:t> </w:t>
            </w:r>
          </w:p>
        </w:tc>
        <w:tc>
          <w:tcPr>
            <w:tcW w:w="1340" w:type="dxa"/>
            <w:tcBorders>
              <w:top w:val="single" w:sz="8" w:space="0" w:color="000000"/>
              <w:left w:val="nil"/>
              <w:bottom w:val="nil"/>
              <w:right w:val="single" w:sz="8" w:space="0" w:color="auto"/>
            </w:tcBorders>
            <w:shd w:val="clear" w:color="auto" w:fill="366092"/>
            <w:tcMar>
              <w:top w:w="0" w:type="dxa"/>
              <w:left w:w="108" w:type="dxa"/>
              <w:bottom w:w="0" w:type="dxa"/>
              <w:right w:w="108" w:type="dxa"/>
            </w:tcMar>
            <w:vAlign w:val="center"/>
            <w:hideMark/>
          </w:tcPr>
          <w:p w14:paraId="4493D6BF" w14:textId="77777777" w:rsidR="00354A42" w:rsidRDefault="00354A42">
            <w:pPr>
              <w:jc w:val="both"/>
              <w:rPr>
                <w:b/>
                <w:bCs/>
                <w:color w:val="FFFFFF"/>
                <w:lang w:eastAsia="en-GB"/>
              </w:rPr>
            </w:pPr>
            <w:r>
              <w:rPr>
                <w:b/>
                <w:bCs/>
                <w:color w:val="FFFFFF"/>
                <w:lang w:eastAsia="en-GB"/>
              </w:rPr>
              <w:t>FY 20/21</w:t>
            </w:r>
            <w:r>
              <w:rPr>
                <w:color w:val="FFFFFF"/>
                <w:lang w:eastAsia="en-GB"/>
              </w:rPr>
              <w:t> </w:t>
            </w:r>
          </w:p>
        </w:tc>
        <w:tc>
          <w:tcPr>
            <w:tcW w:w="1300" w:type="dxa"/>
            <w:tcBorders>
              <w:top w:val="single" w:sz="8" w:space="0" w:color="000000"/>
              <w:left w:val="nil"/>
              <w:bottom w:val="nil"/>
              <w:right w:val="single" w:sz="8" w:space="0" w:color="auto"/>
            </w:tcBorders>
            <w:shd w:val="clear" w:color="auto" w:fill="366092"/>
            <w:tcMar>
              <w:top w:w="0" w:type="dxa"/>
              <w:left w:w="108" w:type="dxa"/>
              <w:bottom w:w="0" w:type="dxa"/>
              <w:right w:w="108" w:type="dxa"/>
            </w:tcMar>
            <w:vAlign w:val="center"/>
            <w:hideMark/>
          </w:tcPr>
          <w:p w14:paraId="76A22A69" w14:textId="77777777" w:rsidR="00354A42" w:rsidRDefault="00354A42">
            <w:pPr>
              <w:jc w:val="both"/>
              <w:rPr>
                <w:b/>
                <w:bCs/>
                <w:color w:val="FFFFFF"/>
                <w:lang w:eastAsia="en-GB"/>
              </w:rPr>
            </w:pPr>
            <w:r>
              <w:rPr>
                <w:b/>
                <w:bCs/>
                <w:color w:val="FFFFFF"/>
                <w:lang w:eastAsia="en-GB"/>
              </w:rPr>
              <w:t>FY 19/20</w:t>
            </w:r>
          </w:p>
        </w:tc>
        <w:tc>
          <w:tcPr>
            <w:tcW w:w="960" w:type="dxa"/>
            <w:noWrap/>
            <w:tcMar>
              <w:top w:w="0" w:type="dxa"/>
              <w:left w:w="108" w:type="dxa"/>
              <w:bottom w:w="0" w:type="dxa"/>
              <w:right w:w="108" w:type="dxa"/>
            </w:tcMar>
            <w:vAlign w:val="bottom"/>
            <w:hideMark/>
          </w:tcPr>
          <w:p w14:paraId="4641F3DB" w14:textId="77777777" w:rsidR="00354A42" w:rsidRDefault="00354A42">
            <w:pPr>
              <w:rPr>
                <w:b/>
                <w:bCs/>
                <w:color w:val="FFFFFF"/>
                <w:lang w:eastAsia="en-GB"/>
              </w:rPr>
            </w:pPr>
          </w:p>
        </w:tc>
      </w:tr>
      <w:tr w:rsidR="00354A42" w14:paraId="6767AF91" w14:textId="77777777" w:rsidTr="00354A42">
        <w:trPr>
          <w:trHeight w:val="315"/>
        </w:trPr>
        <w:tc>
          <w:tcPr>
            <w:tcW w:w="0" w:type="auto"/>
            <w:vMerge/>
            <w:tcBorders>
              <w:top w:val="single" w:sz="8" w:space="0" w:color="000000"/>
              <w:left w:val="single" w:sz="8" w:space="0" w:color="000000"/>
              <w:bottom w:val="single" w:sz="8" w:space="0" w:color="000000"/>
              <w:right w:val="single" w:sz="8" w:space="0" w:color="auto"/>
            </w:tcBorders>
            <w:vAlign w:val="center"/>
            <w:hideMark/>
          </w:tcPr>
          <w:p w14:paraId="6B54ECEE" w14:textId="77777777" w:rsidR="00354A42" w:rsidRDefault="00354A42">
            <w:pPr>
              <w:rPr>
                <w:b/>
                <w:bCs/>
                <w:color w:val="FFFFFF"/>
                <w:lang w:eastAsia="en-GB"/>
              </w:rPr>
            </w:pPr>
          </w:p>
        </w:tc>
        <w:tc>
          <w:tcPr>
            <w:tcW w:w="1300" w:type="dxa"/>
            <w:tcBorders>
              <w:top w:val="nil"/>
              <w:left w:val="nil"/>
              <w:bottom w:val="single" w:sz="8" w:space="0" w:color="auto"/>
              <w:right w:val="single" w:sz="8" w:space="0" w:color="auto"/>
            </w:tcBorders>
            <w:shd w:val="clear" w:color="auto" w:fill="366092"/>
            <w:tcMar>
              <w:top w:w="0" w:type="dxa"/>
              <w:left w:w="108" w:type="dxa"/>
              <w:bottom w:w="0" w:type="dxa"/>
              <w:right w:w="108" w:type="dxa"/>
            </w:tcMar>
            <w:vAlign w:val="center"/>
            <w:hideMark/>
          </w:tcPr>
          <w:p w14:paraId="341248FE" w14:textId="77777777" w:rsidR="00354A42" w:rsidRDefault="00354A42">
            <w:pPr>
              <w:rPr>
                <w:rFonts w:ascii="Calibri" w:hAnsi="Calibri" w:cs="Calibri"/>
                <w:b/>
                <w:bCs/>
                <w:color w:val="FFFFFF"/>
                <w:lang w:eastAsia="en-GB"/>
              </w:rPr>
            </w:pPr>
            <w:r>
              <w:rPr>
                <w:b/>
                <w:bCs/>
                <w:color w:val="FFFFFF"/>
                <w:lang w:eastAsia="en-GB"/>
              </w:rPr>
              <w:t>Budgeted</w:t>
            </w:r>
            <w:r>
              <w:rPr>
                <w:color w:val="FFFFFF"/>
                <w:lang w:eastAsia="en-GB"/>
              </w:rPr>
              <w:t> </w:t>
            </w:r>
          </w:p>
        </w:tc>
        <w:tc>
          <w:tcPr>
            <w:tcW w:w="1340" w:type="dxa"/>
            <w:tcBorders>
              <w:top w:val="nil"/>
              <w:left w:val="nil"/>
              <w:bottom w:val="single" w:sz="8" w:space="0" w:color="auto"/>
              <w:right w:val="single" w:sz="8" w:space="0" w:color="auto"/>
            </w:tcBorders>
            <w:shd w:val="clear" w:color="auto" w:fill="366092"/>
            <w:tcMar>
              <w:top w:w="0" w:type="dxa"/>
              <w:left w:w="108" w:type="dxa"/>
              <w:bottom w:w="0" w:type="dxa"/>
              <w:right w:w="108" w:type="dxa"/>
            </w:tcMar>
            <w:vAlign w:val="center"/>
            <w:hideMark/>
          </w:tcPr>
          <w:p w14:paraId="3C870CB8" w14:textId="77777777" w:rsidR="00354A42" w:rsidRDefault="00354A42">
            <w:pPr>
              <w:rPr>
                <w:b/>
                <w:bCs/>
                <w:color w:val="FFFFFF"/>
                <w:lang w:eastAsia="en-GB"/>
              </w:rPr>
            </w:pPr>
            <w:r>
              <w:rPr>
                <w:b/>
                <w:bCs/>
                <w:color w:val="FFFFFF"/>
                <w:lang w:eastAsia="en-GB"/>
              </w:rPr>
              <w:t>Actual</w:t>
            </w:r>
            <w:r>
              <w:rPr>
                <w:color w:val="FFFFFF"/>
                <w:lang w:eastAsia="en-GB"/>
              </w:rPr>
              <w:t> </w:t>
            </w:r>
          </w:p>
        </w:tc>
        <w:tc>
          <w:tcPr>
            <w:tcW w:w="1300" w:type="dxa"/>
            <w:tcBorders>
              <w:top w:val="nil"/>
              <w:left w:val="nil"/>
              <w:bottom w:val="single" w:sz="8" w:space="0" w:color="auto"/>
              <w:right w:val="single" w:sz="8" w:space="0" w:color="auto"/>
            </w:tcBorders>
            <w:shd w:val="clear" w:color="auto" w:fill="366092"/>
            <w:tcMar>
              <w:top w:w="0" w:type="dxa"/>
              <w:left w:w="108" w:type="dxa"/>
              <w:bottom w:w="0" w:type="dxa"/>
              <w:right w:w="108" w:type="dxa"/>
            </w:tcMar>
            <w:vAlign w:val="center"/>
            <w:hideMark/>
          </w:tcPr>
          <w:p w14:paraId="23FFBD85" w14:textId="77777777" w:rsidR="00354A42" w:rsidRDefault="00354A42">
            <w:pPr>
              <w:rPr>
                <w:b/>
                <w:bCs/>
                <w:color w:val="FFFFFF"/>
                <w:lang w:eastAsia="en-GB"/>
              </w:rPr>
            </w:pPr>
            <w:r>
              <w:rPr>
                <w:b/>
                <w:bCs/>
                <w:color w:val="FFFFFF"/>
                <w:lang w:eastAsia="en-GB"/>
              </w:rPr>
              <w:t>Actual</w:t>
            </w:r>
            <w:r>
              <w:rPr>
                <w:color w:val="FFFFFF"/>
                <w:lang w:eastAsia="en-GB"/>
              </w:rPr>
              <w:t> </w:t>
            </w:r>
          </w:p>
        </w:tc>
        <w:tc>
          <w:tcPr>
            <w:tcW w:w="960" w:type="dxa"/>
            <w:noWrap/>
            <w:tcMar>
              <w:top w:w="0" w:type="dxa"/>
              <w:left w:w="108" w:type="dxa"/>
              <w:bottom w:w="0" w:type="dxa"/>
              <w:right w:w="108" w:type="dxa"/>
            </w:tcMar>
            <w:vAlign w:val="bottom"/>
            <w:hideMark/>
          </w:tcPr>
          <w:p w14:paraId="25166685" w14:textId="77777777" w:rsidR="00354A42" w:rsidRDefault="00354A42">
            <w:pPr>
              <w:rPr>
                <w:b/>
                <w:bCs/>
                <w:color w:val="FFFFFF"/>
                <w:lang w:eastAsia="en-GB"/>
              </w:rPr>
            </w:pPr>
          </w:p>
        </w:tc>
      </w:tr>
      <w:tr w:rsidR="00354A42" w14:paraId="2B00E29C" w14:textId="77777777" w:rsidTr="00354A42">
        <w:trPr>
          <w:trHeight w:val="300"/>
        </w:trPr>
        <w:tc>
          <w:tcPr>
            <w:tcW w:w="4360" w:type="dxa"/>
            <w:noWrap/>
            <w:tcMar>
              <w:top w:w="0" w:type="dxa"/>
              <w:left w:w="108" w:type="dxa"/>
              <w:bottom w:w="0" w:type="dxa"/>
              <w:right w:w="108" w:type="dxa"/>
            </w:tcMar>
            <w:vAlign w:val="bottom"/>
            <w:hideMark/>
          </w:tcPr>
          <w:p w14:paraId="0FC730CF" w14:textId="77777777" w:rsidR="00354A42" w:rsidRDefault="00354A42">
            <w:pPr>
              <w:rPr>
                <w:sz w:val="20"/>
                <w:szCs w:val="20"/>
                <w:lang w:eastAsia="en-GB"/>
              </w:rPr>
            </w:pPr>
          </w:p>
        </w:tc>
        <w:tc>
          <w:tcPr>
            <w:tcW w:w="1300" w:type="dxa"/>
            <w:noWrap/>
            <w:tcMar>
              <w:top w:w="0" w:type="dxa"/>
              <w:left w:w="108" w:type="dxa"/>
              <w:bottom w:w="0" w:type="dxa"/>
              <w:right w:w="108" w:type="dxa"/>
            </w:tcMar>
            <w:vAlign w:val="bottom"/>
            <w:hideMark/>
          </w:tcPr>
          <w:p w14:paraId="67A83496" w14:textId="77777777" w:rsidR="00354A42" w:rsidRDefault="00354A42">
            <w:pPr>
              <w:rPr>
                <w:sz w:val="20"/>
                <w:szCs w:val="20"/>
                <w:lang w:eastAsia="en-GB"/>
              </w:rPr>
            </w:pPr>
          </w:p>
        </w:tc>
        <w:tc>
          <w:tcPr>
            <w:tcW w:w="1340" w:type="dxa"/>
            <w:noWrap/>
            <w:tcMar>
              <w:top w:w="0" w:type="dxa"/>
              <w:left w:w="108" w:type="dxa"/>
              <w:bottom w:w="0" w:type="dxa"/>
              <w:right w:w="108" w:type="dxa"/>
            </w:tcMar>
            <w:vAlign w:val="bottom"/>
            <w:hideMark/>
          </w:tcPr>
          <w:p w14:paraId="3AF651F5" w14:textId="77777777" w:rsidR="00354A42" w:rsidRDefault="00354A42">
            <w:pPr>
              <w:rPr>
                <w:sz w:val="20"/>
                <w:szCs w:val="20"/>
                <w:lang w:eastAsia="en-GB"/>
              </w:rPr>
            </w:pPr>
          </w:p>
        </w:tc>
        <w:tc>
          <w:tcPr>
            <w:tcW w:w="1300" w:type="dxa"/>
            <w:noWrap/>
            <w:tcMar>
              <w:top w:w="0" w:type="dxa"/>
              <w:left w:w="108" w:type="dxa"/>
              <w:bottom w:w="0" w:type="dxa"/>
              <w:right w:w="108" w:type="dxa"/>
            </w:tcMar>
            <w:vAlign w:val="bottom"/>
            <w:hideMark/>
          </w:tcPr>
          <w:p w14:paraId="16B2FA53" w14:textId="77777777" w:rsidR="00354A42" w:rsidRDefault="00354A42">
            <w:pPr>
              <w:rPr>
                <w:sz w:val="20"/>
                <w:szCs w:val="20"/>
                <w:lang w:eastAsia="en-GB"/>
              </w:rPr>
            </w:pPr>
          </w:p>
        </w:tc>
        <w:tc>
          <w:tcPr>
            <w:tcW w:w="960" w:type="dxa"/>
            <w:noWrap/>
            <w:tcMar>
              <w:top w:w="0" w:type="dxa"/>
              <w:left w:w="108" w:type="dxa"/>
              <w:bottom w:w="0" w:type="dxa"/>
              <w:right w:w="108" w:type="dxa"/>
            </w:tcMar>
            <w:vAlign w:val="bottom"/>
            <w:hideMark/>
          </w:tcPr>
          <w:p w14:paraId="6B39FF37" w14:textId="77777777" w:rsidR="00354A42" w:rsidRDefault="00354A42">
            <w:pPr>
              <w:rPr>
                <w:sz w:val="20"/>
                <w:szCs w:val="20"/>
                <w:lang w:eastAsia="en-GB"/>
              </w:rPr>
            </w:pPr>
          </w:p>
        </w:tc>
      </w:tr>
      <w:tr w:rsidR="00354A42" w14:paraId="3AA0FE95" w14:textId="77777777" w:rsidTr="00354A42">
        <w:trPr>
          <w:trHeight w:val="300"/>
        </w:trPr>
        <w:tc>
          <w:tcPr>
            <w:tcW w:w="43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023770" w14:textId="77777777" w:rsidR="00354A42" w:rsidRDefault="00354A42">
            <w:pPr>
              <w:rPr>
                <w:rFonts w:ascii="Calibri" w:hAnsi="Calibri" w:cs="Calibri"/>
                <w:color w:val="000000"/>
                <w:lang w:eastAsia="en-GB"/>
              </w:rPr>
            </w:pPr>
            <w:r>
              <w:rPr>
                <w:color w:val="000000"/>
                <w:lang w:eastAsia="en-GB"/>
              </w:rPr>
              <w:t>Levy received from local authorities </w:t>
            </w:r>
          </w:p>
        </w:tc>
        <w:tc>
          <w:tcPr>
            <w:tcW w:w="13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C15A970" w14:textId="77777777" w:rsidR="00354A42" w:rsidRDefault="00354A42">
            <w:pPr>
              <w:jc w:val="right"/>
              <w:rPr>
                <w:color w:val="000000"/>
                <w:lang w:eastAsia="en-GB"/>
              </w:rPr>
            </w:pPr>
            <w:r>
              <w:rPr>
                <w:color w:val="000000"/>
                <w:lang w:eastAsia="en-GB"/>
              </w:rPr>
              <w:t>24,497,078</w:t>
            </w:r>
          </w:p>
        </w:tc>
        <w:tc>
          <w:tcPr>
            <w:tcW w:w="13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6122127" w14:textId="77777777" w:rsidR="00354A42" w:rsidRDefault="00354A42">
            <w:pPr>
              <w:jc w:val="right"/>
              <w:rPr>
                <w:color w:val="000000"/>
                <w:lang w:eastAsia="en-GB"/>
              </w:rPr>
            </w:pPr>
            <w:r>
              <w:rPr>
                <w:color w:val="000000"/>
                <w:lang w:eastAsia="en-GB"/>
              </w:rPr>
              <w:t>24,497,078</w:t>
            </w:r>
          </w:p>
        </w:tc>
        <w:tc>
          <w:tcPr>
            <w:tcW w:w="13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08EAB7C" w14:textId="77777777" w:rsidR="00354A42" w:rsidRDefault="00354A42">
            <w:pPr>
              <w:jc w:val="right"/>
              <w:rPr>
                <w:color w:val="000000"/>
                <w:lang w:eastAsia="en-GB"/>
              </w:rPr>
            </w:pPr>
            <w:r>
              <w:rPr>
                <w:color w:val="000000"/>
                <w:lang w:eastAsia="en-GB"/>
              </w:rPr>
              <w:t>24,497,078</w:t>
            </w:r>
          </w:p>
        </w:tc>
        <w:tc>
          <w:tcPr>
            <w:tcW w:w="960" w:type="dxa"/>
            <w:noWrap/>
            <w:tcMar>
              <w:top w:w="0" w:type="dxa"/>
              <w:left w:w="108" w:type="dxa"/>
              <w:bottom w:w="0" w:type="dxa"/>
              <w:right w:w="108" w:type="dxa"/>
            </w:tcMar>
            <w:vAlign w:val="bottom"/>
            <w:hideMark/>
          </w:tcPr>
          <w:p w14:paraId="3C55977A" w14:textId="77777777" w:rsidR="00354A42" w:rsidRDefault="00354A42">
            <w:pPr>
              <w:rPr>
                <w:color w:val="000000"/>
                <w:lang w:eastAsia="en-GB"/>
              </w:rPr>
            </w:pPr>
          </w:p>
        </w:tc>
      </w:tr>
      <w:tr w:rsidR="00354A42" w14:paraId="08145430" w14:textId="77777777" w:rsidTr="00354A42">
        <w:trPr>
          <w:trHeight w:val="300"/>
        </w:trPr>
        <w:tc>
          <w:tcPr>
            <w:tcW w:w="4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537D1C" w14:textId="77777777" w:rsidR="00354A42" w:rsidRDefault="00354A42">
            <w:pPr>
              <w:rPr>
                <w:rFonts w:ascii="Calibri" w:hAnsi="Calibri" w:cs="Calibri"/>
                <w:color w:val="000000"/>
                <w:lang w:eastAsia="en-GB"/>
              </w:rPr>
            </w:pPr>
            <w:r>
              <w:rPr>
                <w:color w:val="000000"/>
                <w:lang w:eastAsia="en-GB"/>
              </w:rPr>
              <w:t xml:space="preserve">Main Diet Non levy entry income </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F372FE" w14:textId="77777777" w:rsidR="00354A42" w:rsidRDefault="00354A42">
            <w:pPr>
              <w:jc w:val="right"/>
              <w:rPr>
                <w:color w:val="000000"/>
                <w:lang w:eastAsia="en-GB"/>
              </w:rPr>
            </w:pPr>
            <w:r>
              <w:rPr>
                <w:color w:val="000000"/>
                <w:lang w:eastAsia="en-GB"/>
              </w:rPr>
              <w:t>4,706,846</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8F2942" w14:textId="77777777" w:rsidR="00354A42" w:rsidRDefault="00354A42">
            <w:pPr>
              <w:jc w:val="right"/>
              <w:rPr>
                <w:color w:val="000000"/>
                <w:lang w:eastAsia="en-GB"/>
              </w:rPr>
            </w:pPr>
            <w:r>
              <w:rPr>
                <w:color w:val="000000"/>
                <w:lang w:eastAsia="en-GB"/>
              </w:rPr>
              <w:t>4,747,526</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2E782E" w14:textId="77777777" w:rsidR="00354A42" w:rsidRDefault="00354A42">
            <w:pPr>
              <w:jc w:val="right"/>
              <w:rPr>
                <w:color w:val="000000"/>
                <w:lang w:eastAsia="en-GB"/>
              </w:rPr>
            </w:pPr>
            <w:r>
              <w:rPr>
                <w:color w:val="000000"/>
                <w:lang w:eastAsia="en-GB"/>
              </w:rPr>
              <w:t>5,067,043</w:t>
            </w:r>
          </w:p>
        </w:tc>
        <w:tc>
          <w:tcPr>
            <w:tcW w:w="960" w:type="dxa"/>
            <w:noWrap/>
            <w:tcMar>
              <w:top w:w="0" w:type="dxa"/>
              <w:left w:w="108" w:type="dxa"/>
              <w:bottom w:w="0" w:type="dxa"/>
              <w:right w:w="108" w:type="dxa"/>
            </w:tcMar>
            <w:vAlign w:val="bottom"/>
            <w:hideMark/>
          </w:tcPr>
          <w:p w14:paraId="38C5672F" w14:textId="77777777" w:rsidR="00354A42" w:rsidRDefault="00354A42">
            <w:pPr>
              <w:rPr>
                <w:color w:val="000000"/>
                <w:lang w:eastAsia="en-GB"/>
              </w:rPr>
            </w:pPr>
          </w:p>
        </w:tc>
      </w:tr>
      <w:tr w:rsidR="00354A42" w14:paraId="493708AA" w14:textId="77777777" w:rsidTr="00354A42">
        <w:trPr>
          <w:trHeight w:val="300"/>
        </w:trPr>
        <w:tc>
          <w:tcPr>
            <w:tcW w:w="4360"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EEE6E50" w14:textId="77777777" w:rsidR="00354A42" w:rsidRDefault="00354A42">
            <w:pPr>
              <w:rPr>
                <w:rFonts w:ascii="Calibri" w:hAnsi="Calibri" w:cs="Calibri"/>
                <w:color w:val="000000"/>
                <w:lang w:eastAsia="en-GB"/>
              </w:rPr>
            </w:pPr>
            <w:r>
              <w:rPr>
                <w:color w:val="000000"/>
                <w:lang w:eastAsia="en-GB"/>
              </w:rPr>
              <w:t>Total Main Diet NQ Income </w:t>
            </w:r>
          </w:p>
        </w:tc>
        <w:tc>
          <w:tcPr>
            <w:tcW w:w="130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6C0AA15E" w14:textId="77777777" w:rsidR="00354A42" w:rsidRDefault="00354A42">
            <w:pPr>
              <w:jc w:val="right"/>
              <w:rPr>
                <w:color w:val="000000"/>
                <w:lang w:eastAsia="en-GB"/>
              </w:rPr>
            </w:pPr>
            <w:r>
              <w:rPr>
                <w:color w:val="000000"/>
                <w:lang w:eastAsia="en-GB"/>
              </w:rPr>
              <w:t>29,203,924</w:t>
            </w:r>
          </w:p>
        </w:tc>
        <w:tc>
          <w:tcPr>
            <w:tcW w:w="134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6EDD76BA" w14:textId="77777777" w:rsidR="00354A42" w:rsidRDefault="00354A42">
            <w:pPr>
              <w:jc w:val="right"/>
              <w:rPr>
                <w:color w:val="000000"/>
                <w:lang w:eastAsia="en-GB"/>
              </w:rPr>
            </w:pPr>
            <w:r>
              <w:rPr>
                <w:color w:val="000000"/>
                <w:lang w:eastAsia="en-GB"/>
              </w:rPr>
              <w:t>29,244,604</w:t>
            </w:r>
          </w:p>
        </w:tc>
        <w:tc>
          <w:tcPr>
            <w:tcW w:w="130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120A6D8" w14:textId="77777777" w:rsidR="00354A42" w:rsidRDefault="00354A42">
            <w:pPr>
              <w:jc w:val="right"/>
              <w:rPr>
                <w:color w:val="000000"/>
                <w:lang w:eastAsia="en-GB"/>
              </w:rPr>
            </w:pPr>
            <w:r>
              <w:rPr>
                <w:color w:val="000000"/>
                <w:lang w:eastAsia="en-GB"/>
              </w:rPr>
              <w:t>29,564,121</w:t>
            </w:r>
          </w:p>
        </w:tc>
        <w:tc>
          <w:tcPr>
            <w:tcW w:w="960" w:type="dxa"/>
            <w:noWrap/>
            <w:tcMar>
              <w:top w:w="0" w:type="dxa"/>
              <w:left w:w="108" w:type="dxa"/>
              <w:bottom w:w="0" w:type="dxa"/>
              <w:right w:w="108" w:type="dxa"/>
            </w:tcMar>
            <w:vAlign w:val="bottom"/>
            <w:hideMark/>
          </w:tcPr>
          <w:p w14:paraId="1CAD8E41" w14:textId="77777777" w:rsidR="00354A42" w:rsidRDefault="00354A42">
            <w:pPr>
              <w:rPr>
                <w:color w:val="000000"/>
                <w:lang w:eastAsia="en-GB"/>
              </w:rPr>
            </w:pPr>
          </w:p>
        </w:tc>
      </w:tr>
      <w:tr w:rsidR="00354A42" w14:paraId="239C2CBD" w14:textId="77777777" w:rsidTr="00354A42">
        <w:trPr>
          <w:trHeight w:val="300"/>
        </w:trPr>
        <w:tc>
          <w:tcPr>
            <w:tcW w:w="4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542C4F" w14:textId="77777777" w:rsidR="00354A42" w:rsidRDefault="00354A42">
            <w:pPr>
              <w:rPr>
                <w:rFonts w:ascii="Calibri" w:hAnsi="Calibri" w:cs="Calibri"/>
                <w:color w:val="000000"/>
                <w:lang w:eastAsia="en-GB"/>
              </w:rPr>
            </w:pPr>
            <w:r>
              <w:rPr>
                <w:color w:val="000000"/>
                <w:lang w:eastAsia="en-GB"/>
              </w:rPr>
              <w:t xml:space="preserve">Other </w:t>
            </w:r>
            <w:proofErr w:type="spellStart"/>
            <w:r>
              <w:rPr>
                <w:color w:val="000000"/>
                <w:lang w:eastAsia="en-GB"/>
              </w:rPr>
              <w:t xml:space="preserve">Non </w:t>
            </w:r>
            <w:proofErr w:type="gramStart"/>
            <w:r>
              <w:rPr>
                <w:color w:val="000000"/>
                <w:lang w:eastAsia="en-GB"/>
              </w:rPr>
              <w:t>Diet</w:t>
            </w:r>
            <w:proofErr w:type="spellEnd"/>
            <w:r>
              <w:rPr>
                <w:color w:val="000000"/>
                <w:lang w:eastAsia="en-GB"/>
              </w:rPr>
              <w:t>  Income</w:t>
            </w:r>
            <w:proofErr w:type="gramEnd"/>
            <w:r>
              <w:rPr>
                <w:color w:val="000000"/>
                <w:lang w:eastAsia="en-GB"/>
              </w:rPr>
              <w:t xml:space="preserve"> </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34C8A3" w14:textId="77777777" w:rsidR="00354A42" w:rsidRDefault="00354A42">
            <w:pPr>
              <w:jc w:val="right"/>
              <w:rPr>
                <w:color w:val="000000"/>
                <w:lang w:eastAsia="en-GB"/>
              </w:rPr>
            </w:pPr>
            <w:r>
              <w:rPr>
                <w:color w:val="000000"/>
                <w:lang w:eastAsia="en-GB"/>
              </w:rPr>
              <w:t>11,351,076</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01EB4E" w14:textId="77777777" w:rsidR="00354A42" w:rsidRDefault="00354A42">
            <w:pPr>
              <w:jc w:val="right"/>
              <w:rPr>
                <w:color w:val="000000"/>
                <w:lang w:eastAsia="en-GB"/>
              </w:rPr>
            </w:pPr>
            <w:r>
              <w:rPr>
                <w:color w:val="000000"/>
                <w:lang w:eastAsia="en-GB"/>
              </w:rPr>
              <w:t>10,818,468</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AD043A" w14:textId="77777777" w:rsidR="00354A42" w:rsidRDefault="00354A42">
            <w:pPr>
              <w:jc w:val="right"/>
              <w:rPr>
                <w:color w:val="000000"/>
                <w:lang w:eastAsia="en-GB"/>
              </w:rPr>
            </w:pPr>
            <w:r>
              <w:rPr>
                <w:color w:val="000000"/>
                <w:lang w:eastAsia="en-GB"/>
              </w:rPr>
              <w:t>12,402,571</w:t>
            </w:r>
          </w:p>
        </w:tc>
        <w:tc>
          <w:tcPr>
            <w:tcW w:w="960" w:type="dxa"/>
            <w:noWrap/>
            <w:tcMar>
              <w:top w:w="0" w:type="dxa"/>
              <w:left w:w="108" w:type="dxa"/>
              <w:bottom w:w="0" w:type="dxa"/>
              <w:right w:w="108" w:type="dxa"/>
            </w:tcMar>
            <w:vAlign w:val="bottom"/>
            <w:hideMark/>
          </w:tcPr>
          <w:p w14:paraId="2787E656" w14:textId="77777777" w:rsidR="00354A42" w:rsidRDefault="00354A42">
            <w:pPr>
              <w:rPr>
                <w:color w:val="000000"/>
                <w:lang w:eastAsia="en-GB"/>
              </w:rPr>
            </w:pPr>
          </w:p>
        </w:tc>
      </w:tr>
      <w:tr w:rsidR="00354A42" w14:paraId="292C6ED1" w14:textId="77777777" w:rsidTr="00354A42">
        <w:trPr>
          <w:trHeight w:val="300"/>
        </w:trPr>
        <w:tc>
          <w:tcPr>
            <w:tcW w:w="4360"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96D0AAE" w14:textId="77777777" w:rsidR="00354A42" w:rsidRDefault="00354A42">
            <w:pPr>
              <w:rPr>
                <w:rFonts w:ascii="Calibri" w:hAnsi="Calibri" w:cs="Calibri"/>
                <w:color w:val="000000"/>
                <w:lang w:eastAsia="en-GB"/>
              </w:rPr>
            </w:pPr>
            <w:r>
              <w:rPr>
                <w:color w:val="000000"/>
                <w:lang w:eastAsia="en-GB"/>
              </w:rPr>
              <w:t xml:space="preserve">Total Entry Charges Income </w:t>
            </w:r>
          </w:p>
        </w:tc>
        <w:tc>
          <w:tcPr>
            <w:tcW w:w="130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73F7BA5" w14:textId="77777777" w:rsidR="00354A42" w:rsidRDefault="00354A42">
            <w:pPr>
              <w:jc w:val="right"/>
              <w:rPr>
                <w:color w:val="000000"/>
                <w:lang w:eastAsia="en-GB"/>
              </w:rPr>
            </w:pPr>
            <w:r>
              <w:rPr>
                <w:color w:val="000000"/>
                <w:lang w:eastAsia="en-GB"/>
              </w:rPr>
              <w:t>40,555,000</w:t>
            </w:r>
          </w:p>
        </w:tc>
        <w:tc>
          <w:tcPr>
            <w:tcW w:w="134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97738E4" w14:textId="77777777" w:rsidR="00354A42" w:rsidRDefault="00354A42">
            <w:pPr>
              <w:jc w:val="right"/>
              <w:rPr>
                <w:color w:val="000000"/>
                <w:lang w:eastAsia="en-GB"/>
              </w:rPr>
            </w:pPr>
            <w:r>
              <w:rPr>
                <w:color w:val="000000"/>
                <w:lang w:eastAsia="en-GB"/>
              </w:rPr>
              <w:t>40,063,072</w:t>
            </w:r>
          </w:p>
        </w:tc>
        <w:tc>
          <w:tcPr>
            <w:tcW w:w="130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DCE5565" w14:textId="77777777" w:rsidR="00354A42" w:rsidRDefault="00354A42">
            <w:pPr>
              <w:jc w:val="right"/>
              <w:rPr>
                <w:color w:val="000000"/>
                <w:lang w:eastAsia="en-GB"/>
              </w:rPr>
            </w:pPr>
            <w:r>
              <w:rPr>
                <w:color w:val="000000"/>
                <w:lang w:eastAsia="en-GB"/>
              </w:rPr>
              <w:t>41,966,692</w:t>
            </w:r>
          </w:p>
        </w:tc>
        <w:tc>
          <w:tcPr>
            <w:tcW w:w="960" w:type="dxa"/>
            <w:noWrap/>
            <w:tcMar>
              <w:top w:w="0" w:type="dxa"/>
              <w:left w:w="108" w:type="dxa"/>
              <w:bottom w:w="0" w:type="dxa"/>
              <w:right w:w="108" w:type="dxa"/>
            </w:tcMar>
            <w:vAlign w:val="bottom"/>
            <w:hideMark/>
          </w:tcPr>
          <w:p w14:paraId="6FAF0A56" w14:textId="77777777" w:rsidR="00354A42" w:rsidRDefault="00354A42">
            <w:pPr>
              <w:rPr>
                <w:color w:val="000000"/>
                <w:lang w:eastAsia="en-GB"/>
              </w:rPr>
            </w:pPr>
          </w:p>
        </w:tc>
      </w:tr>
      <w:tr w:rsidR="00354A42" w14:paraId="1FBE44B7" w14:textId="77777777" w:rsidTr="00354A42">
        <w:trPr>
          <w:trHeight w:val="300"/>
        </w:trPr>
        <w:tc>
          <w:tcPr>
            <w:tcW w:w="4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A41F38" w14:textId="77777777" w:rsidR="00354A42" w:rsidRDefault="00354A42">
            <w:pPr>
              <w:rPr>
                <w:rFonts w:ascii="Calibri" w:hAnsi="Calibri" w:cs="Calibri"/>
                <w:color w:val="000000"/>
                <w:lang w:eastAsia="en-GB"/>
              </w:rPr>
            </w:pPr>
            <w:r>
              <w:rPr>
                <w:color w:val="000000"/>
                <w:lang w:eastAsia="en-GB"/>
              </w:rPr>
              <w:t xml:space="preserve">Other Income </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4E7246" w14:textId="77777777" w:rsidR="00354A42" w:rsidRDefault="00354A42">
            <w:pPr>
              <w:jc w:val="right"/>
              <w:rPr>
                <w:color w:val="000000"/>
                <w:lang w:eastAsia="en-GB"/>
              </w:rPr>
            </w:pPr>
            <w:r>
              <w:rPr>
                <w:color w:val="000000"/>
                <w:lang w:eastAsia="en-GB"/>
              </w:rPr>
              <w:t>5,600,000</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82B37B" w14:textId="77777777" w:rsidR="00354A42" w:rsidRDefault="00354A42">
            <w:pPr>
              <w:jc w:val="right"/>
              <w:rPr>
                <w:color w:val="000000"/>
                <w:lang w:eastAsia="en-GB"/>
              </w:rPr>
            </w:pPr>
            <w:r>
              <w:rPr>
                <w:color w:val="000000"/>
                <w:lang w:eastAsia="en-GB"/>
              </w:rPr>
              <w:t>5,208,023</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2C5D88" w14:textId="77777777" w:rsidR="00354A42" w:rsidRDefault="00354A42">
            <w:pPr>
              <w:jc w:val="right"/>
              <w:rPr>
                <w:color w:val="000000"/>
                <w:lang w:eastAsia="en-GB"/>
              </w:rPr>
            </w:pPr>
            <w:r>
              <w:rPr>
                <w:color w:val="000000"/>
                <w:lang w:eastAsia="en-GB"/>
              </w:rPr>
              <w:t>8,624,650</w:t>
            </w:r>
          </w:p>
        </w:tc>
        <w:tc>
          <w:tcPr>
            <w:tcW w:w="960" w:type="dxa"/>
            <w:noWrap/>
            <w:tcMar>
              <w:top w:w="0" w:type="dxa"/>
              <w:left w:w="108" w:type="dxa"/>
              <w:bottom w:w="0" w:type="dxa"/>
              <w:right w:w="108" w:type="dxa"/>
            </w:tcMar>
            <w:vAlign w:val="bottom"/>
            <w:hideMark/>
          </w:tcPr>
          <w:p w14:paraId="710D212A" w14:textId="77777777" w:rsidR="00354A42" w:rsidRDefault="00354A42">
            <w:pPr>
              <w:rPr>
                <w:color w:val="000000"/>
                <w:lang w:eastAsia="en-GB"/>
              </w:rPr>
            </w:pPr>
          </w:p>
        </w:tc>
      </w:tr>
      <w:tr w:rsidR="00354A42" w14:paraId="4BEEB6F4" w14:textId="77777777" w:rsidTr="00354A42">
        <w:trPr>
          <w:trHeight w:val="300"/>
        </w:trPr>
        <w:tc>
          <w:tcPr>
            <w:tcW w:w="4360"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615EEF14" w14:textId="77777777" w:rsidR="00354A42" w:rsidRDefault="00354A42">
            <w:pPr>
              <w:rPr>
                <w:rFonts w:ascii="Calibri" w:hAnsi="Calibri" w:cs="Calibri"/>
                <w:color w:val="000000"/>
                <w:lang w:eastAsia="en-GB"/>
              </w:rPr>
            </w:pPr>
            <w:r>
              <w:rPr>
                <w:color w:val="000000"/>
                <w:lang w:eastAsia="en-GB"/>
              </w:rPr>
              <w:t>Total Income per SOCNE</w:t>
            </w:r>
          </w:p>
        </w:tc>
        <w:tc>
          <w:tcPr>
            <w:tcW w:w="130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1206C0DD" w14:textId="77777777" w:rsidR="00354A42" w:rsidRDefault="00354A42">
            <w:pPr>
              <w:jc w:val="right"/>
              <w:rPr>
                <w:color w:val="000000"/>
                <w:lang w:eastAsia="en-GB"/>
              </w:rPr>
            </w:pPr>
            <w:r>
              <w:rPr>
                <w:color w:val="000000"/>
                <w:lang w:eastAsia="en-GB"/>
              </w:rPr>
              <w:t>46,155,000</w:t>
            </w:r>
          </w:p>
        </w:tc>
        <w:tc>
          <w:tcPr>
            <w:tcW w:w="134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82195A9" w14:textId="77777777" w:rsidR="00354A42" w:rsidRDefault="00354A42">
            <w:pPr>
              <w:jc w:val="right"/>
              <w:rPr>
                <w:color w:val="000000"/>
                <w:lang w:eastAsia="en-GB"/>
              </w:rPr>
            </w:pPr>
            <w:r>
              <w:rPr>
                <w:color w:val="000000"/>
                <w:lang w:eastAsia="en-GB"/>
              </w:rPr>
              <w:t>45,271,095</w:t>
            </w:r>
          </w:p>
        </w:tc>
        <w:tc>
          <w:tcPr>
            <w:tcW w:w="130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B7730CA" w14:textId="77777777" w:rsidR="00354A42" w:rsidRDefault="00354A42">
            <w:pPr>
              <w:jc w:val="right"/>
              <w:rPr>
                <w:color w:val="000000"/>
                <w:lang w:eastAsia="en-GB"/>
              </w:rPr>
            </w:pPr>
            <w:r>
              <w:rPr>
                <w:color w:val="000000"/>
                <w:lang w:eastAsia="en-GB"/>
              </w:rPr>
              <w:t>50,591,342</w:t>
            </w:r>
          </w:p>
        </w:tc>
        <w:tc>
          <w:tcPr>
            <w:tcW w:w="960" w:type="dxa"/>
            <w:noWrap/>
            <w:tcMar>
              <w:top w:w="0" w:type="dxa"/>
              <w:left w:w="108" w:type="dxa"/>
              <w:bottom w:w="0" w:type="dxa"/>
              <w:right w:w="108" w:type="dxa"/>
            </w:tcMar>
            <w:vAlign w:val="bottom"/>
            <w:hideMark/>
          </w:tcPr>
          <w:p w14:paraId="1697784C" w14:textId="77777777" w:rsidR="00354A42" w:rsidRDefault="00354A42">
            <w:pPr>
              <w:rPr>
                <w:color w:val="000000"/>
                <w:lang w:eastAsia="en-GB"/>
              </w:rPr>
            </w:pPr>
          </w:p>
        </w:tc>
      </w:tr>
      <w:tr w:rsidR="00354A42" w14:paraId="6C9E1B5F" w14:textId="77777777" w:rsidTr="00354A42">
        <w:trPr>
          <w:trHeight w:val="300"/>
        </w:trPr>
        <w:tc>
          <w:tcPr>
            <w:tcW w:w="43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ED8316" w14:textId="77777777" w:rsidR="00354A42" w:rsidRDefault="00354A42">
            <w:pPr>
              <w:rPr>
                <w:rFonts w:ascii="Calibri" w:hAnsi="Calibri" w:cs="Calibri"/>
                <w:color w:val="000000"/>
                <w:lang w:eastAsia="en-GB"/>
              </w:rPr>
            </w:pPr>
            <w:r>
              <w:rPr>
                <w:color w:val="000000"/>
                <w:lang w:eastAsia="en-GB"/>
              </w:rPr>
              <w:t>Scottish Government Funding (plus notional)</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CAB1AA" w14:textId="77777777" w:rsidR="00354A42" w:rsidRDefault="00354A42">
            <w:pPr>
              <w:jc w:val="right"/>
              <w:rPr>
                <w:color w:val="000000"/>
                <w:lang w:eastAsia="en-GB"/>
              </w:rPr>
            </w:pPr>
            <w:r>
              <w:rPr>
                <w:color w:val="000000"/>
                <w:lang w:eastAsia="en-GB"/>
              </w:rPr>
              <w:t>38,016,000</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0EBC51" w14:textId="77777777" w:rsidR="00354A42" w:rsidRDefault="00354A42">
            <w:pPr>
              <w:jc w:val="right"/>
              <w:rPr>
                <w:color w:val="000000"/>
                <w:lang w:eastAsia="en-GB"/>
              </w:rPr>
            </w:pPr>
            <w:r>
              <w:rPr>
                <w:color w:val="000000"/>
                <w:lang w:eastAsia="en-GB"/>
              </w:rPr>
              <w:t>20,965,000</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5B6F7A" w14:textId="77777777" w:rsidR="00354A42" w:rsidRDefault="00354A42">
            <w:pPr>
              <w:jc w:val="right"/>
              <w:rPr>
                <w:color w:val="000000"/>
                <w:lang w:eastAsia="en-GB"/>
              </w:rPr>
            </w:pPr>
            <w:r>
              <w:rPr>
                <w:color w:val="000000"/>
                <w:lang w:eastAsia="en-GB"/>
              </w:rPr>
              <w:t>41,441,000</w:t>
            </w:r>
          </w:p>
        </w:tc>
        <w:tc>
          <w:tcPr>
            <w:tcW w:w="960" w:type="dxa"/>
            <w:noWrap/>
            <w:tcMar>
              <w:top w:w="0" w:type="dxa"/>
              <w:left w:w="108" w:type="dxa"/>
              <w:bottom w:w="0" w:type="dxa"/>
              <w:right w:w="108" w:type="dxa"/>
            </w:tcMar>
            <w:vAlign w:val="bottom"/>
            <w:hideMark/>
          </w:tcPr>
          <w:p w14:paraId="3AD0857F" w14:textId="77777777" w:rsidR="00354A42" w:rsidRDefault="00354A42">
            <w:pPr>
              <w:rPr>
                <w:color w:val="000000"/>
                <w:lang w:eastAsia="en-GB"/>
              </w:rPr>
            </w:pPr>
          </w:p>
        </w:tc>
      </w:tr>
      <w:tr w:rsidR="00354A42" w14:paraId="18AB8961" w14:textId="77777777" w:rsidTr="00354A42">
        <w:trPr>
          <w:trHeight w:val="300"/>
        </w:trPr>
        <w:tc>
          <w:tcPr>
            <w:tcW w:w="4360"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88CFB3C" w14:textId="77777777" w:rsidR="00354A42" w:rsidRDefault="00354A42">
            <w:pPr>
              <w:rPr>
                <w:rFonts w:ascii="Calibri" w:hAnsi="Calibri" w:cs="Calibri"/>
                <w:b/>
                <w:bCs/>
                <w:color w:val="000000"/>
                <w:lang w:eastAsia="en-GB"/>
              </w:rPr>
            </w:pPr>
            <w:r>
              <w:rPr>
                <w:b/>
                <w:bCs/>
                <w:color w:val="000000"/>
                <w:lang w:eastAsia="en-GB"/>
              </w:rPr>
              <w:t xml:space="preserve">Total Income </w:t>
            </w:r>
          </w:p>
        </w:tc>
        <w:tc>
          <w:tcPr>
            <w:tcW w:w="130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38ED9AE" w14:textId="77777777" w:rsidR="00354A42" w:rsidRDefault="00354A42">
            <w:pPr>
              <w:jc w:val="right"/>
              <w:rPr>
                <w:b/>
                <w:bCs/>
                <w:color w:val="000000"/>
                <w:lang w:eastAsia="en-GB"/>
              </w:rPr>
            </w:pPr>
            <w:r>
              <w:rPr>
                <w:b/>
                <w:bCs/>
                <w:color w:val="000000"/>
                <w:lang w:eastAsia="en-GB"/>
              </w:rPr>
              <w:t>84,171,000</w:t>
            </w:r>
          </w:p>
        </w:tc>
        <w:tc>
          <w:tcPr>
            <w:tcW w:w="134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3A41BA7C" w14:textId="77777777" w:rsidR="00354A42" w:rsidRDefault="00354A42">
            <w:pPr>
              <w:jc w:val="right"/>
              <w:rPr>
                <w:b/>
                <w:bCs/>
                <w:color w:val="000000"/>
                <w:lang w:eastAsia="en-GB"/>
              </w:rPr>
            </w:pPr>
            <w:r>
              <w:rPr>
                <w:b/>
                <w:bCs/>
                <w:color w:val="000000"/>
                <w:lang w:eastAsia="en-GB"/>
              </w:rPr>
              <w:t>66,236,095</w:t>
            </w:r>
          </w:p>
        </w:tc>
        <w:tc>
          <w:tcPr>
            <w:tcW w:w="1300"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69BEB76" w14:textId="77777777" w:rsidR="00354A42" w:rsidRDefault="00354A42">
            <w:pPr>
              <w:jc w:val="right"/>
              <w:rPr>
                <w:b/>
                <w:bCs/>
                <w:color w:val="000000"/>
                <w:lang w:eastAsia="en-GB"/>
              </w:rPr>
            </w:pPr>
            <w:r>
              <w:rPr>
                <w:b/>
                <w:bCs/>
                <w:color w:val="000000"/>
                <w:lang w:eastAsia="en-GB"/>
              </w:rPr>
              <w:t>92,032,342</w:t>
            </w:r>
          </w:p>
        </w:tc>
        <w:tc>
          <w:tcPr>
            <w:tcW w:w="960" w:type="dxa"/>
            <w:noWrap/>
            <w:tcMar>
              <w:top w:w="0" w:type="dxa"/>
              <w:left w:w="108" w:type="dxa"/>
              <w:bottom w:w="0" w:type="dxa"/>
              <w:right w:w="108" w:type="dxa"/>
            </w:tcMar>
            <w:vAlign w:val="bottom"/>
            <w:hideMark/>
          </w:tcPr>
          <w:p w14:paraId="26A4BB20" w14:textId="77777777" w:rsidR="00354A42" w:rsidRDefault="00354A42">
            <w:pPr>
              <w:rPr>
                <w:b/>
                <w:bCs/>
                <w:color w:val="000000"/>
                <w:lang w:eastAsia="en-GB"/>
              </w:rPr>
            </w:pPr>
          </w:p>
        </w:tc>
      </w:tr>
      <w:tr w:rsidR="00354A42" w14:paraId="4B092102" w14:textId="77777777" w:rsidTr="00354A42">
        <w:trPr>
          <w:trHeight w:val="300"/>
        </w:trPr>
        <w:tc>
          <w:tcPr>
            <w:tcW w:w="4360" w:type="dxa"/>
            <w:noWrap/>
            <w:tcMar>
              <w:top w:w="0" w:type="dxa"/>
              <w:left w:w="108" w:type="dxa"/>
              <w:bottom w:w="0" w:type="dxa"/>
              <w:right w:w="108" w:type="dxa"/>
            </w:tcMar>
            <w:vAlign w:val="bottom"/>
            <w:hideMark/>
          </w:tcPr>
          <w:p w14:paraId="07C1FE0C" w14:textId="77777777" w:rsidR="00354A42" w:rsidRDefault="00354A42">
            <w:pPr>
              <w:rPr>
                <w:sz w:val="20"/>
                <w:szCs w:val="20"/>
                <w:lang w:eastAsia="en-GB"/>
              </w:rPr>
            </w:pPr>
          </w:p>
        </w:tc>
        <w:tc>
          <w:tcPr>
            <w:tcW w:w="1300" w:type="dxa"/>
            <w:noWrap/>
            <w:tcMar>
              <w:top w:w="0" w:type="dxa"/>
              <w:left w:w="108" w:type="dxa"/>
              <w:bottom w:w="0" w:type="dxa"/>
              <w:right w:w="108" w:type="dxa"/>
            </w:tcMar>
            <w:vAlign w:val="bottom"/>
            <w:hideMark/>
          </w:tcPr>
          <w:p w14:paraId="383BC17D" w14:textId="77777777" w:rsidR="00354A42" w:rsidRDefault="00354A42">
            <w:pPr>
              <w:rPr>
                <w:sz w:val="20"/>
                <w:szCs w:val="20"/>
                <w:lang w:eastAsia="en-GB"/>
              </w:rPr>
            </w:pPr>
          </w:p>
        </w:tc>
        <w:tc>
          <w:tcPr>
            <w:tcW w:w="1340" w:type="dxa"/>
            <w:noWrap/>
            <w:tcMar>
              <w:top w:w="0" w:type="dxa"/>
              <w:left w:w="108" w:type="dxa"/>
              <w:bottom w:w="0" w:type="dxa"/>
              <w:right w:w="108" w:type="dxa"/>
            </w:tcMar>
            <w:vAlign w:val="bottom"/>
            <w:hideMark/>
          </w:tcPr>
          <w:p w14:paraId="677ABBEA" w14:textId="77777777" w:rsidR="00354A42" w:rsidRDefault="00354A42">
            <w:pPr>
              <w:rPr>
                <w:sz w:val="20"/>
                <w:szCs w:val="20"/>
                <w:lang w:eastAsia="en-GB"/>
              </w:rPr>
            </w:pPr>
          </w:p>
        </w:tc>
        <w:tc>
          <w:tcPr>
            <w:tcW w:w="1300" w:type="dxa"/>
            <w:noWrap/>
            <w:tcMar>
              <w:top w:w="0" w:type="dxa"/>
              <w:left w:w="108" w:type="dxa"/>
              <w:bottom w:w="0" w:type="dxa"/>
              <w:right w:w="108" w:type="dxa"/>
            </w:tcMar>
            <w:vAlign w:val="bottom"/>
            <w:hideMark/>
          </w:tcPr>
          <w:p w14:paraId="6A87E23D" w14:textId="77777777" w:rsidR="00354A42" w:rsidRDefault="00354A42">
            <w:pPr>
              <w:rPr>
                <w:sz w:val="20"/>
                <w:szCs w:val="20"/>
                <w:lang w:eastAsia="en-GB"/>
              </w:rPr>
            </w:pPr>
          </w:p>
        </w:tc>
        <w:tc>
          <w:tcPr>
            <w:tcW w:w="960" w:type="dxa"/>
            <w:noWrap/>
            <w:tcMar>
              <w:top w:w="0" w:type="dxa"/>
              <w:left w:w="108" w:type="dxa"/>
              <w:bottom w:w="0" w:type="dxa"/>
              <w:right w:w="108" w:type="dxa"/>
            </w:tcMar>
            <w:vAlign w:val="bottom"/>
            <w:hideMark/>
          </w:tcPr>
          <w:p w14:paraId="79FF1D04" w14:textId="77777777" w:rsidR="00354A42" w:rsidRDefault="00354A42">
            <w:pPr>
              <w:rPr>
                <w:sz w:val="20"/>
                <w:szCs w:val="20"/>
                <w:lang w:eastAsia="en-GB"/>
              </w:rPr>
            </w:pPr>
          </w:p>
        </w:tc>
      </w:tr>
    </w:tbl>
    <w:p w14:paraId="38441BA0" w14:textId="77777777" w:rsidR="00354A42" w:rsidRDefault="00354A42" w:rsidP="00354A42">
      <w:pPr>
        <w:numPr>
          <w:ilvl w:val="0"/>
          <w:numId w:val="5"/>
        </w:numPr>
        <w:textAlignment w:val="baseline"/>
        <w:rPr>
          <w:rFonts w:ascii="Arial" w:eastAsia="Times New Roman" w:hAnsi="Arial" w:cs="Arial"/>
          <w:sz w:val="20"/>
          <w:szCs w:val="20"/>
          <w:lang w:eastAsia="en-GB"/>
        </w:rPr>
      </w:pPr>
      <w:r>
        <w:rPr>
          <w:rFonts w:eastAsia="Times New Roman"/>
          <w:b/>
          <w:bCs/>
          <w:i/>
          <w:iCs/>
          <w:color w:val="FF0000"/>
          <w:lang w:eastAsia="en-GB"/>
        </w:rPr>
        <w:t>In a previous FOI the SQA told me it anticipated that “the cost of awarding National Qualifications in 2021 will be less than had an exam diet been held” – has funding from the Scottish government reduced to reflect this? if </w:t>
      </w:r>
      <w:proofErr w:type="gramStart"/>
      <w:r>
        <w:rPr>
          <w:rFonts w:eastAsia="Times New Roman"/>
          <w:b/>
          <w:bCs/>
          <w:i/>
          <w:iCs/>
          <w:color w:val="FF0000"/>
          <w:lang w:eastAsia="en-GB"/>
        </w:rPr>
        <w:t>so</w:t>
      </w:r>
      <w:proofErr w:type="gramEnd"/>
      <w:r>
        <w:rPr>
          <w:rFonts w:eastAsia="Times New Roman"/>
          <w:b/>
          <w:bCs/>
          <w:i/>
          <w:iCs/>
          <w:color w:val="FF0000"/>
          <w:lang w:eastAsia="en-GB"/>
        </w:rPr>
        <w:t> please give details, making it clear how much SQA receives in a typical year and how much it is receiving this year?</w:t>
      </w:r>
      <w:r>
        <w:rPr>
          <w:rFonts w:ascii="Arial" w:eastAsia="Times New Roman" w:hAnsi="Arial" w:cs="Arial"/>
          <w:sz w:val="20"/>
          <w:szCs w:val="20"/>
          <w:lang w:eastAsia="en-GB"/>
        </w:rPr>
        <w:t>  </w:t>
      </w:r>
    </w:p>
    <w:p w14:paraId="27E4910F" w14:textId="77777777" w:rsidR="00354A42" w:rsidRDefault="00354A42" w:rsidP="00354A42">
      <w:pPr>
        <w:rPr>
          <w:rFonts w:ascii="Calibri" w:hAnsi="Calibri" w:cs="Calibri"/>
        </w:rPr>
      </w:pPr>
    </w:p>
    <w:p w14:paraId="069DAE51" w14:textId="77777777" w:rsidR="00354A42" w:rsidRDefault="00354A42" w:rsidP="00354A42">
      <w:pPr>
        <w:textAlignment w:val="baseline"/>
        <w:rPr>
          <w:lang w:eastAsia="en-GB"/>
        </w:rPr>
      </w:pPr>
      <w:r>
        <w:rPr>
          <w:lang w:eastAsia="en-GB"/>
        </w:rPr>
        <w:t>Direct income received by SQA for all our awarding and commercial activities – not just National Qualifications – does not cover the full cost of SQA activities. The remaining net expenditure is funded by Grant in Aid from the Scottish Government. The level of Grant </w:t>
      </w:r>
      <w:proofErr w:type="gramStart"/>
      <w:r>
        <w:rPr>
          <w:lang w:eastAsia="en-GB"/>
        </w:rPr>
        <w:t>In</w:t>
      </w:r>
      <w:proofErr w:type="gramEnd"/>
      <w:r>
        <w:rPr>
          <w:lang w:eastAsia="en-GB"/>
        </w:rPr>
        <w:t> Aid for FYs 19/20, 20/21 and 21/22 (budgeted) is shown in the table above.</w:t>
      </w:r>
    </w:p>
    <w:p w14:paraId="6A34FFF0" w14:textId="77777777" w:rsidR="00354A42" w:rsidRDefault="00354A42" w:rsidP="00354A42">
      <w:pPr>
        <w:textAlignment w:val="baseline"/>
        <w:rPr>
          <w:lang w:eastAsia="en-GB"/>
        </w:rPr>
      </w:pPr>
    </w:p>
    <w:p w14:paraId="0E4B81F7" w14:textId="77777777" w:rsidR="00354A42" w:rsidRDefault="00354A42" w:rsidP="00354A42">
      <w:pPr>
        <w:textAlignment w:val="baseline"/>
        <w:rPr>
          <w:rFonts w:ascii="Segoe UI" w:hAnsi="Segoe UI" w:cs="Segoe UI"/>
          <w:strike/>
          <w:sz w:val="18"/>
          <w:szCs w:val="18"/>
          <w:lang w:eastAsia="en-GB"/>
        </w:rPr>
      </w:pPr>
      <w:r>
        <w:rPr>
          <w:lang w:eastAsia="en-GB"/>
        </w:rPr>
        <w:t>In 20/21 there was a notable reduction in the level of funding we </w:t>
      </w:r>
      <w:proofErr w:type="gramStart"/>
      <w:r>
        <w:rPr>
          <w:lang w:eastAsia="en-GB"/>
        </w:rPr>
        <w:t>received</w:t>
      </w:r>
      <w:proofErr w:type="gramEnd"/>
      <w:r>
        <w:rPr>
          <w:lang w:eastAsia="en-GB"/>
        </w:rPr>
        <w:t xml:space="preserve"> and this was reflective of the reduction in our operating costs as a result of the cancellation of the exam diet and the wider impact of Covid-19. Please note that the actual figure for 20/21 is net of £24.4 million of Grant in Aid previously agreed but not drawn down from the Scottish Government. In 21/22, the actual cost of delivery of all SQA activities will be monitored closely on a monthly basis and any movement </w:t>
      </w:r>
      <w:proofErr w:type="gramStart"/>
      <w:r>
        <w:rPr>
          <w:lang w:eastAsia="en-GB"/>
        </w:rPr>
        <w:t>in  the</w:t>
      </w:r>
      <w:proofErr w:type="gramEnd"/>
      <w:r>
        <w:rPr>
          <w:lang w:eastAsia="en-GB"/>
        </w:rPr>
        <w:t xml:space="preserve"> cost of delivery will be communicated to Scottish Government and our level of funding will be adjusted accordingly through the normal formal process.</w:t>
      </w:r>
    </w:p>
    <w:p w14:paraId="01C5AA2A" w14:textId="77777777" w:rsidR="00354A42" w:rsidRDefault="00354A42" w:rsidP="00354A42">
      <w:pPr>
        <w:textAlignment w:val="baseline"/>
        <w:rPr>
          <w:rFonts w:ascii="Calibri" w:hAnsi="Calibri" w:cs="Calibri"/>
          <w:color w:val="FFFFFF"/>
          <w:lang w:eastAsia="en-GB"/>
        </w:rPr>
      </w:pPr>
      <w:r>
        <w:rPr>
          <w:color w:val="FFFFFF"/>
          <w:lang w:eastAsia="en-GB"/>
        </w:rPr>
        <w:t> </w:t>
      </w:r>
    </w:p>
    <w:p w14:paraId="171DC109" w14:textId="77777777" w:rsidR="00354A42" w:rsidRDefault="00354A42" w:rsidP="00354A42">
      <w:pPr>
        <w:textAlignment w:val="baseline"/>
        <w:rPr>
          <w:rFonts w:ascii="Segoe UI" w:hAnsi="Segoe UI" w:cs="Segoe UI"/>
          <w:sz w:val="18"/>
          <w:szCs w:val="18"/>
          <w:lang w:eastAsia="en-GB"/>
        </w:rPr>
      </w:pPr>
    </w:p>
    <w:p w14:paraId="6B833D74" w14:textId="77777777" w:rsidR="00354A42" w:rsidRDefault="00354A42" w:rsidP="00354A42">
      <w:pPr>
        <w:numPr>
          <w:ilvl w:val="0"/>
          <w:numId w:val="5"/>
        </w:numPr>
        <w:textAlignment w:val="baseline"/>
        <w:rPr>
          <w:rFonts w:ascii="Arial" w:eastAsia="Times New Roman" w:hAnsi="Arial" w:cs="Arial"/>
          <w:sz w:val="20"/>
          <w:szCs w:val="20"/>
          <w:lang w:eastAsia="en-GB"/>
        </w:rPr>
      </w:pPr>
      <w:r>
        <w:rPr>
          <w:rFonts w:eastAsia="Times New Roman"/>
          <w:b/>
          <w:bCs/>
          <w:i/>
          <w:iCs/>
          <w:color w:val="FF0000"/>
          <w:lang w:eastAsia="en-GB"/>
        </w:rPr>
        <w:t>Has the levy paid by local authorities reduced to reflect the fact that the ACM will cost less? If so, please give details, making it clear how much SQA receives in a typical year and how much it is receiving this year? If not, could you please outline how much funding the SQA will receive via the levy this year?</w:t>
      </w:r>
      <w:r>
        <w:rPr>
          <w:rFonts w:ascii="Arial" w:eastAsia="Times New Roman" w:hAnsi="Arial" w:cs="Arial"/>
          <w:sz w:val="20"/>
          <w:szCs w:val="20"/>
          <w:lang w:eastAsia="en-GB"/>
        </w:rPr>
        <w:t>  </w:t>
      </w:r>
    </w:p>
    <w:p w14:paraId="24D96B0D" w14:textId="77777777" w:rsidR="00354A42" w:rsidRDefault="00354A42" w:rsidP="00354A42">
      <w:pPr>
        <w:rPr>
          <w:rFonts w:ascii="Calibri" w:hAnsi="Calibri" w:cs="Calibri"/>
        </w:rPr>
      </w:pPr>
    </w:p>
    <w:p w14:paraId="43EC9861" w14:textId="77777777" w:rsidR="00354A42" w:rsidRDefault="00354A42" w:rsidP="00354A42">
      <w:r>
        <w:t>Details of income are provided in the answer to question 2. The SQA budget for 2021-22 as agreed with Scottish Government assumes continued payment of the levy at the existing rate. The costs of awarding National Qualifications, including this year, are greater than the contribution made by local authorities in the form of a levy.</w:t>
      </w:r>
    </w:p>
    <w:p w14:paraId="669EA617" w14:textId="77777777" w:rsidR="00354A42" w:rsidRDefault="00354A42" w:rsidP="00354A42"/>
    <w:p w14:paraId="6F56ACED" w14:textId="77777777" w:rsidR="00354A42" w:rsidRDefault="00354A42" w:rsidP="00354A42">
      <w:pPr>
        <w:autoSpaceDE w:val="0"/>
        <w:autoSpaceDN w:val="0"/>
        <w:adjustRightInd w:val="0"/>
        <w:rPr>
          <w:rFonts w:ascii="Arial" w:hAnsi="Arial" w:cs="Arial"/>
          <w:color w:val="000000"/>
        </w:rPr>
      </w:pPr>
      <w:r>
        <w:t xml:space="preserve">Should you have any further points of clarification or follow up questions please get in touch. We are also happy to provide comment for any publication of the material contained in the </w:t>
      </w:r>
      <w:proofErr w:type="gramStart"/>
      <w:r>
        <w:t>response</w:t>
      </w:r>
      <w:proofErr w:type="gramEnd"/>
    </w:p>
    <w:p w14:paraId="6B34E181" w14:textId="77777777" w:rsidR="00354A42" w:rsidRDefault="00354A42" w:rsidP="00354A42">
      <w:pPr>
        <w:autoSpaceDE w:val="0"/>
        <w:autoSpaceDN w:val="0"/>
        <w:adjustRightInd w:val="0"/>
        <w:rPr>
          <w:rFonts w:ascii="Arial" w:hAnsi="Arial" w:cs="Arial"/>
          <w:color w:val="000000"/>
        </w:rPr>
      </w:pPr>
    </w:p>
    <w:p w14:paraId="160395CC" w14:textId="77777777" w:rsidR="00640696" w:rsidRPr="00354A42" w:rsidRDefault="00640696" w:rsidP="00354A42"/>
    <w:sectPr w:rsidR="00640696" w:rsidRPr="00354A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46AD"/>
    <w:multiLevelType w:val="multilevel"/>
    <w:tmpl w:val="4E661A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F628CE"/>
    <w:multiLevelType w:val="multilevel"/>
    <w:tmpl w:val="39BA1D6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5C06F13"/>
    <w:multiLevelType w:val="multilevel"/>
    <w:tmpl w:val="00AC269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F571D26"/>
    <w:multiLevelType w:val="multilevel"/>
    <w:tmpl w:val="D3BC4F4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CFD038F"/>
    <w:multiLevelType w:val="hybridMultilevel"/>
    <w:tmpl w:val="DD187AD6"/>
    <w:lvl w:ilvl="0" w:tplc="D9DA3F1A">
      <w:start w:val="1"/>
      <w:numFmt w:val="decimal"/>
      <w:lvlText w:val="%1."/>
      <w:lvlJc w:val="left"/>
      <w:pPr>
        <w:ind w:left="360" w:hanging="360"/>
      </w:pPr>
      <w:rPr>
        <w:rFonts w:ascii="Calibri" w:hAnsi="Calibri" w:cs="Calibri" w:hint="default"/>
        <w:b/>
        <w:i/>
        <w:color w:val="000000"/>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DD"/>
    <w:rsid w:val="00354A42"/>
    <w:rsid w:val="00594ADD"/>
    <w:rsid w:val="00640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53C2A"/>
  <w15:chartTrackingRefBased/>
  <w15:docId w15:val="{E2CB10F8-50E8-4CD0-B3FD-78E25245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AD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94ADD"/>
    <w:pPr>
      <w:spacing w:before="100" w:beforeAutospacing="1" w:after="100" w:afterAutospacing="1"/>
    </w:pPr>
    <w:rPr>
      <w:rFonts w:ascii="Calibri" w:eastAsia="Times New Roman" w:hAnsi="Calibri" w:cs="Calibri"/>
      <w:lang w:eastAsia="en-GB"/>
    </w:rPr>
  </w:style>
  <w:style w:type="character" w:customStyle="1" w:styleId="normaltextrun">
    <w:name w:val="normaltextrun"/>
    <w:basedOn w:val="DefaultParagraphFont"/>
    <w:rsid w:val="00594ADD"/>
  </w:style>
  <w:style w:type="character" w:customStyle="1" w:styleId="eop">
    <w:name w:val="eop"/>
    <w:basedOn w:val="DefaultParagraphFont"/>
    <w:rsid w:val="00594ADD"/>
  </w:style>
  <w:style w:type="paragraph" w:styleId="ListParagraph">
    <w:name w:val="List Paragraph"/>
    <w:basedOn w:val="Normal"/>
    <w:uiPriority w:val="34"/>
    <w:qFormat/>
    <w:rsid w:val="00354A42"/>
    <w:pPr>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838965">
      <w:bodyDiv w:val="1"/>
      <w:marLeft w:val="0"/>
      <w:marRight w:val="0"/>
      <w:marTop w:val="0"/>
      <w:marBottom w:val="0"/>
      <w:divBdr>
        <w:top w:val="none" w:sz="0" w:space="0" w:color="auto"/>
        <w:left w:val="none" w:sz="0" w:space="0" w:color="auto"/>
        <w:bottom w:val="none" w:sz="0" w:space="0" w:color="auto"/>
        <w:right w:val="none" w:sz="0" w:space="0" w:color="auto"/>
      </w:divBdr>
    </w:div>
    <w:div w:id="177073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1034</Words>
  <Characters>5896</Characters>
  <Application>Microsoft Office Word</Application>
  <DocSecurity>0</DocSecurity>
  <Lines>49</Lines>
  <Paragraphs>13</Paragraphs>
  <ScaleCrop>false</ScaleCrop>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 Barrie</dc:creator>
  <cp:keywords/>
  <dc:description/>
  <cp:lastModifiedBy>Alyson Barrie</cp:lastModifiedBy>
  <cp:revision>2</cp:revision>
  <dcterms:created xsi:type="dcterms:W3CDTF">2021-04-30T15:03:00Z</dcterms:created>
  <dcterms:modified xsi:type="dcterms:W3CDTF">2021-06-16T07:54:00Z</dcterms:modified>
</cp:coreProperties>
</file>