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A018" w14:textId="3AD4AE6F" w:rsidR="004C0F58" w:rsidRDefault="004C0F58" w:rsidP="004C0F58">
      <w:pPr>
        <w:pStyle w:val="Default"/>
        <w:rPr>
          <w:b/>
          <w:bCs/>
          <w:color w:val="auto"/>
          <w:sz w:val="32"/>
          <w:szCs w:val="32"/>
        </w:rPr>
      </w:pPr>
      <w:r w:rsidRPr="00AF6E7F">
        <w:rPr>
          <w:noProof/>
          <w:color w:val="auto"/>
          <w:sz w:val="16"/>
          <w:szCs w:val="16"/>
          <w:lang w:eastAsia="en-GB"/>
        </w:rPr>
        <w:drawing>
          <wp:anchor distT="0" distB="0" distL="114300" distR="114300" simplePos="0" relativeHeight="251658240" behindDoc="0" locked="0" layoutInCell="1" allowOverlap="1" wp14:anchorId="7C2BCE52" wp14:editId="266A1B67">
            <wp:simplePos x="0" y="0"/>
            <wp:positionH relativeFrom="column">
              <wp:posOffset>4486275</wp:posOffset>
            </wp:positionH>
            <wp:positionV relativeFrom="paragraph">
              <wp:posOffset>0</wp:posOffset>
            </wp:positionV>
            <wp:extent cx="1588770" cy="843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a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770" cy="843280"/>
                    </a:xfrm>
                    <a:prstGeom prst="rect">
                      <a:avLst/>
                    </a:prstGeom>
                  </pic:spPr>
                </pic:pic>
              </a:graphicData>
            </a:graphic>
            <wp14:sizeRelH relativeFrom="page">
              <wp14:pctWidth>0</wp14:pctWidth>
            </wp14:sizeRelH>
            <wp14:sizeRelV relativeFrom="page">
              <wp14:pctHeight>0</wp14:pctHeight>
            </wp14:sizeRelV>
          </wp:anchor>
        </w:drawing>
      </w:r>
    </w:p>
    <w:p w14:paraId="1F3E3ED4" w14:textId="0BF37031" w:rsidR="009C7756" w:rsidRDefault="009C7756" w:rsidP="004C0F58">
      <w:pPr>
        <w:pStyle w:val="Default"/>
        <w:rPr>
          <w:b/>
          <w:bCs/>
          <w:color w:val="auto"/>
          <w:sz w:val="32"/>
          <w:szCs w:val="32"/>
        </w:rPr>
      </w:pPr>
    </w:p>
    <w:p w14:paraId="1523B450" w14:textId="4445CA05" w:rsidR="009C7756" w:rsidRDefault="009C7756" w:rsidP="004C0F58">
      <w:pPr>
        <w:pStyle w:val="Default"/>
        <w:rPr>
          <w:b/>
          <w:bCs/>
          <w:color w:val="auto"/>
          <w:sz w:val="32"/>
          <w:szCs w:val="32"/>
        </w:rPr>
      </w:pPr>
    </w:p>
    <w:p w14:paraId="4463F8E2" w14:textId="77777777" w:rsidR="009C7756" w:rsidRDefault="009C7756" w:rsidP="004C0F58">
      <w:pPr>
        <w:pStyle w:val="Default"/>
        <w:rPr>
          <w:b/>
          <w:bCs/>
          <w:color w:val="auto"/>
          <w:sz w:val="32"/>
          <w:szCs w:val="32"/>
        </w:rPr>
      </w:pPr>
    </w:p>
    <w:p w14:paraId="0CD5DE5C" w14:textId="4F021DCE" w:rsidR="00154B2A" w:rsidRPr="006E6371" w:rsidRDefault="0052231D" w:rsidP="004C0F58">
      <w:pPr>
        <w:pStyle w:val="Default"/>
        <w:rPr>
          <w:color w:val="auto"/>
        </w:rPr>
      </w:pPr>
      <w:r w:rsidRPr="00911E69">
        <w:rPr>
          <w:b/>
          <w:bCs/>
          <w:color w:val="auto"/>
          <w:sz w:val="32"/>
          <w:szCs w:val="32"/>
        </w:rPr>
        <w:t>Guidance on Updating HN Units with Tax Content</w:t>
      </w:r>
    </w:p>
    <w:p w14:paraId="03C014AA" w14:textId="64A98F21" w:rsidR="001F4937" w:rsidRDefault="001F4937" w:rsidP="00154B2A">
      <w:pPr>
        <w:pStyle w:val="Default"/>
        <w:ind w:left="720"/>
        <w:rPr>
          <w:color w:val="auto"/>
          <w:sz w:val="22"/>
          <w:szCs w:val="22"/>
        </w:rPr>
      </w:pPr>
    </w:p>
    <w:p w14:paraId="57E4CBCA" w14:textId="77777777" w:rsidR="00A55A7A" w:rsidRPr="00AF6E7F" w:rsidRDefault="00A55A7A" w:rsidP="00154B2A">
      <w:pPr>
        <w:pStyle w:val="Default"/>
        <w:ind w:left="720"/>
        <w:rPr>
          <w:color w:val="auto"/>
          <w:sz w:val="22"/>
          <w:szCs w:val="22"/>
        </w:rPr>
      </w:pPr>
    </w:p>
    <w:p w14:paraId="7AE57BCC" w14:textId="77777777" w:rsidR="001F4937" w:rsidRPr="00AF6E7F" w:rsidRDefault="001F4937" w:rsidP="001F4937">
      <w:pPr>
        <w:pStyle w:val="Default"/>
        <w:rPr>
          <w:b/>
          <w:bCs/>
          <w:color w:val="auto"/>
          <w:sz w:val="22"/>
          <w:szCs w:val="22"/>
        </w:rPr>
      </w:pPr>
      <w:r w:rsidRPr="00AF6E7F">
        <w:rPr>
          <w:b/>
          <w:bCs/>
          <w:color w:val="auto"/>
          <w:sz w:val="22"/>
          <w:szCs w:val="22"/>
        </w:rPr>
        <w:t xml:space="preserve">Introduction </w:t>
      </w:r>
    </w:p>
    <w:p w14:paraId="50CB2A3C" w14:textId="77777777" w:rsidR="00CE2E63" w:rsidRPr="00AF6E7F" w:rsidRDefault="00CE2E63" w:rsidP="001F4937">
      <w:pPr>
        <w:pStyle w:val="Default"/>
        <w:rPr>
          <w:color w:val="auto"/>
          <w:sz w:val="22"/>
          <w:szCs w:val="22"/>
        </w:rPr>
      </w:pPr>
    </w:p>
    <w:p w14:paraId="0612505A" w14:textId="3AC3F220" w:rsidR="00382992" w:rsidRPr="00AF6E7F" w:rsidRDefault="001F4937" w:rsidP="00382992">
      <w:pPr>
        <w:pStyle w:val="Default"/>
        <w:jc w:val="both"/>
        <w:rPr>
          <w:color w:val="auto"/>
          <w:sz w:val="22"/>
          <w:szCs w:val="22"/>
        </w:rPr>
      </w:pPr>
      <w:r w:rsidRPr="00AF6E7F">
        <w:rPr>
          <w:color w:val="auto"/>
          <w:sz w:val="22"/>
          <w:szCs w:val="22"/>
        </w:rPr>
        <w:t>It is important that centres update learning and teaching materials</w:t>
      </w:r>
      <w:r w:rsidR="00911E69">
        <w:rPr>
          <w:color w:val="auto"/>
          <w:sz w:val="22"/>
          <w:szCs w:val="22"/>
        </w:rPr>
        <w:t xml:space="preserve"> including </w:t>
      </w:r>
      <w:r w:rsidRPr="00AF6E7F">
        <w:rPr>
          <w:color w:val="auto"/>
          <w:sz w:val="22"/>
          <w:szCs w:val="22"/>
        </w:rPr>
        <w:t xml:space="preserve">any locally devised instruments of assessment and SQA produced </w:t>
      </w:r>
      <w:r w:rsidR="00786F92" w:rsidRPr="00AF6E7F">
        <w:rPr>
          <w:color w:val="auto"/>
          <w:sz w:val="22"/>
          <w:szCs w:val="22"/>
        </w:rPr>
        <w:t>Assessment Support Pack</w:t>
      </w:r>
      <w:r w:rsidR="00CE2E63" w:rsidRPr="00AF6E7F">
        <w:rPr>
          <w:color w:val="auto"/>
          <w:sz w:val="22"/>
          <w:szCs w:val="22"/>
        </w:rPr>
        <w:t>s</w:t>
      </w:r>
      <w:r w:rsidRPr="00AF6E7F">
        <w:rPr>
          <w:color w:val="auto"/>
          <w:sz w:val="22"/>
          <w:szCs w:val="22"/>
        </w:rPr>
        <w:t xml:space="preserve"> </w:t>
      </w:r>
      <w:r w:rsidR="004C0F58">
        <w:rPr>
          <w:color w:val="auto"/>
          <w:sz w:val="22"/>
          <w:szCs w:val="22"/>
        </w:rPr>
        <w:t xml:space="preserve">(ASPs) </w:t>
      </w:r>
      <w:r w:rsidRPr="00AF6E7F">
        <w:rPr>
          <w:color w:val="auto"/>
          <w:sz w:val="22"/>
          <w:szCs w:val="22"/>
        </w:rPr>
        <w:t>on an annual b</w:t>
      </w:r>
      <w:r w:rsidR="00A91668">
        <w:rPr>
          <w:color w:val="auto"/>
          <w:sz w:val="22"/>
          <w:szCs w:val="22"/>
        </w:rPr>
        <w:t>asis to reflect any changes to t</w:t>
      </w:r>
      <w:r w:rsidRPr="00AF6E7F">
        <w:rPr>
          <w:color w:val="auto"/>
          <w:sz w:val="22"/>
          <w:szCs w:val="22"/>
        </w:rPr>
        <w:t xml:space="preserve">ax legislation. This will ensure </w:t>
      </w:r>
      <w:r w:rsidR="004C0F58">
        <w:rPr>
          <w:color w:val="auto"/>
          <w:sz w:val="22"/>
          <w:szCs w:val="22"/>
        </w:rPr>
        <w:t>learner</w:t>
      </w:r>
      <w:r w:rsidRPr="00AF6E7F">
        <w:rPr>
          <w:color w:val="auto"/>
          <w:sz w:val="22"/>
          <w:szCs w:val="22"/>
        </w:rPr>
        <w:t xml:space="preserve">s are taught and assessed using the most up to date information, as is required by the profession. </w:t>
      </w:r>
      <w:r w:rsidR="00FF39C5">
        <w:rPr>
          <w:color w:val="auto"/>
          <w:sz w:val="22"/>
          <w:szCs w:val="22"/>
        </w:rPr>
        <w:t xml:space="preserve">  </w:t>
      </w:r>
      <w:bookmarkStart w:id="0" w:name="_Hlk115873247"/>
      <w:r w:rsidR="00FF39C5" w:rsidRPr="00C235EA">
        <w:rPr>
          <w:color w:val="auto"/>
          <w:sz w:val="22"/>
          <w:szCs w:val="22"/>
        </w:rPr>
        <w:t>If there is a situation whereby</w:t>
      </w:r>
      <w:r w:rsidR="00C235EA">
        <w:rPr>
          <w:color w:val="auto"/>
          <w:sz w:val="22"/>
          <w:szCs w:val="22"/>
        </w:rPr>
        <w:t xml:space="preserve"> </w:t>
      </w:r>
      <w:r w:rsidR="00FF39C5" w:rsidRPr="00C235EA">
        <w:rPr>
          <w:color w:val="auto"/>
          <w:sz w:val="22"/>
          <w:szCs w:val="22"/>
        </w:rPr>
        <w:t xml:space="preserve">changes </w:t>
      </w:r>
      <w:r w:rsidR="00C235EA">
        <w:rPr>
          <w:color w:val="auto"/>
          <w:sz w:val="22"/>
          <w:szCs w:val="22"/>
        </w:rPr>
        <w:t xml:space="preserve">are </w:t>
      </w:r>
      <w:r w:rsidR="00FF39C5" w:rsidRPr="00C235EA">
        <w:rPr>
          <w:color w:val="auto"/>
          <w:sz w:val="22"/>
          <w:szCs w:val="22"/>
        </w:rPr>
        <w:t>made to the legislation on more than one occasion</w:t>
      </w:r>
      <w:r w:rsidR="00382992" w:rsidRPr="00C235EA">
        <w:rPr>
          <w:color w:val="auto"/>
          <w:sz w:val="22"/>
          <w:szCs w:val="22"/>
        </w:rPr>
        <w:t xml:space="preserve"> </w:t>
      </w:r>
      <w:r w:rsidR="00FF39C5" w:rsidRPr="00C235EA">
        <w:rPr>
          <w:color w:val="auto"/>
          <w:sz w:val="22"/>
          <w:szCs w:val="22"/>
        </w:rPr>
        <w:t xml:space="preserve">in an academic year it is acceptable to use the rates </w:t>
      </w:r>
      <w:r w:rsidR="00F14BB0" w:rsidRPr="00C235EA">
        <w:rPr>
          <w:color w:val="auto"/>
          <w:sz w:val="22"/>
          <w:szCs w:val="22"/>
        </w:rPr>
        <w:t xml:space="preserve">and legislation </w:t>
      </w:r>
      <w:r w:rsidR="00FF39C5" w:rsidRPr="00C235EA">
        <w:rPr>
          <w:color w:val="auto"/>
          <w:sz w:val="22"/>
          <w:szCs w:val="22"/>
        </w:rPr>
        <w:t xml:space="preserve">in place at the start of that </w:t>
      </w:r>
      <w:proofErr w:type="gramStart"/>
      <w:r w:rsidR="00FF39C5" w:rsidRPr="00C235EA">
        <w:rPr>
          <w:color w:val="auto"/>
          <w:sz w:val="22"/>
          <w:szCs w:val="22"/>
        </w:rPr>
        <w:t>particular academic</w:t>
      </w:r>
      <w:proofErr w:type="gramEnd"/>
      <w:r w:rsidR="00FF39C5" w:rsidRPr="00C235EA">
        <w:rPr>
          <w:color w:val="auto"/>
          <w:sz w:val="22"/>
          <w:szCs w:val="22"/>
        </w:rPr>
        <w:t xml:space="preserve"> year </w:t>
      </w:r>
      <w:r w:rsidR="00FF39C5" w:rsidRPr="00C235EA">
        <w:rPr>
          <w:b/>
          <w:bCs/>
          <w:color w:val="auto"/>
          <w:sz w:val="22"/>
          <w:szCs w:val="22"/>
        </w:rPr>
        <w:t xml:space="preserve">or </w:t>
      </w:r>
      <w:r w:rsidR="00FF39C5" w:rsidRPr="00C235EA">
        <w:rPr>
          <w:color w:val="auto"/>
          <w:sz w:val="22"/>
          <w:szCs w:val="22"/>
        </w:rPr>
        <w:t>the new rates.</w:t>
      </w:r>
      <w:r w:rsidR="00382992" w:rsidRPr="00C235EA">
        <w:rPr>
          <w:color w:val="auto"/>
          <w:sz w:val="22"/>
          <w:szCs w:val="22"/>
        </w:rPr>
        <w:t xml:space="preserve"> Centres would not be expected to make changes part way through delivery.</w:t>
      </w:r>
    </w:p>
    <w:p w14:paraId="1D2013A5" w14:textId="07A1487E" w:rsidR="001F4937" w:rsidRPr="00AF6E7F" w:rsidRDefault="001F4937" w:rsidP="00786F92">
      <w:pPr>
        <w:pStyle w:val="Default"/>
        <w:jc w:val="both"/>
        <w:rPr>
          <w:color w:val="auto"/>
          <w:sz w:val="22"/>
          <w:szCs w:val="22"/>
        </w:rPr>
      </w:pPr>
    </w:p>
    <w:bookmarkEnd w:id="0"/>
    <w:p w14:paraId="729E5E3B" w14:textId="77777777" w:rsidR="00786F92" w:rsidRPr="00AF6E7F" w:rsidRDefault="00786F92" w:rsidP="00786F92">
      <w:pPr>
        <w:pStyle w:val="Default"/>
        <w:jc w:val="both"/>
        <w:rPr>
          <w:color w:val="auto"/>
          <w:sz w:val="22"/>
          <w:szCs w:val="22"/>
        </w:rPr>
      </w:pPr>
    </w:p>
    <w:p w14:paraId="576B6574" w14:textId="77777777" w:rsidR="0052231D" w:rsidRPr="0052231D" w:rsidRDefault="0052231D" w:rsidP="0052231D">
      <w:pPr>
        <w:rPr>
          <w:sz w:val="22"/>
          <w:szCs w:val="22"/>
        </w:rPr>
      </w:pPr>
      <w:r w:rsidRPr="0052231D">
        <w:rPr>
          <w:sz w:val="22"/>
          <w:szCs w:val="22"/>
        </w:rPr>
        <w:t>The HN units listed below have some content related to tax:</w:t>
      </w:r>
    </w:p>
    <w:p w14:paraId="395503A3" w14:textId="77777777" w:rsidR="00154B2A" w:rsidRPr="00AF6E7F" w:rsidRDefault="00154B2A" w:rsidP="001F4937">
      <w:pPr>
        <w:pStyle w:val="Default"/>
        <w:rPr>
          <w:color w:val="auto"/>
          <w:sz w:val="22"/>
          <w:szCs w:val="22"/>
        </w:rPr>
      </w:pPr>
    </w:p>
    <w:p w14:paraId="663D038D" w14:textId="77777777" w:rsidR="00B778B2" w:rsidRPr="00AF6E7F" w:rsidRDefault="00B778B2" w:rsidP="00B778B2">
      <w:pPr>
        <w:pStyle w:val="Default"/>
        <w:numPr>
          <w:ilvl w:val="0"/>
          <w:numId w:val="3"/>
        </w:numPr>
        <w:rPr>
          <w:color w:val="auto"/>
          <w:sz w:val="22"/>
          <w:szCs w:val="22"/>
        </w:rPr>
      </w:pPr>
      <w:r w:rsidRPr="00AF6E7F">
        <w:rPr>
          <w:color w:val="auto"/>
          <w:sz w:val="22"/>
          <w:szCs w:val="22"/>
        </w:rPr>
        <w:t xml:space="preserve">F84M 34 </w:t>
      </w:r>
      <w:r w:rsidRPr="00AF6E7F">
        <w:rPr>
          <w:color w:val="auto"/>
          <w:sz w:val="22"/>
          <w:szCs w:val="22"/>
        </w:rPr>
        <w:tab/>
        <w:t xml:space="preserve">Business Accounting (BA) </w:t>
      </w:r>
    </w:p>
    <w:p w14:paraId="38B2740C" w14:textId="260CAD82" w:rsidR="00B778B2" w:rsidRDefault="00D24EA8" w:rsidP="00154B2A">
      <w:pPr>
        <w:pStyle w:val="Default"/>
        <w:numPr>
          <w:ilvl w:val="0"/>
          <w:numId w:val="3"/>
        </w:numPr>
        <w:rPr>
          <w:color w:val="auto"/>
          <w:sz w:val="22"/>
          <w:szCs w:val="22"/>
        </w:rPr>
      </w:pPr>
      <w:r>
        <w:rPr>
          <w:color w:val="auto"/>
          <w:sz w:val="22"/>
          <w:szCs w:val="22"/>
        </w:rPr>
        <w:t>J0LY 35</w:t>
      </w:r>
      <w:r w:rsidR="00B778B2">
        <w:rPr>
          <w:color w:val="auto"/>
          <w:sz w:val="22"/>
          <w:szCs w:val="22"/>
        </w:rPr>
        <w:tab/>
        <w:t>Business Taxation</w:t>
      </w:r>
    </w:p>
    <w:p w14:paraId="53CA61E9" w14:textId="797308CE" w:rsidR="00B778B2" w:rsidRDefault="00B778B2" w:rsidP="00154B2A">
      <w:pPr>
        <w:pStyle w:val="Default"/>
        <w:numPr>
          <w:ilvl w:val="0"/>
          <w:numId w:val="3"/>
        </w:numPr>
        <w:rPr>
          <w:color w:val="auto"/>
          <w:sz w:val="22"/>
          <w:szCs w:val="22"/>
        </w:rPr>
      </w:pPr>
      <w:r w:rsidRPr="00AF6E7F">
        <w:rPr>
          <w:color w:val="auto"/>
          <w:sz w:val="22"/>
          <w:szCs w:val="22"/>
        </w:rPr>
        <w:t xml:space="preserve">HC43 35 </w:t>
      </w:r>
      <w:r w:rsidRPr="00AF6E7F">
        <w:rPr>
          <w:color w:val="auto"/>
          <w:sz w:val="22"/>
          <w:szCs w:val="22"/>
        </w:rPr>
        <w:tab/>
        <w:t>Financial Reporting and Analysis (FRA)</w:t>
      </w:r>
    </w:p>
    <w:p w14:paraId="693C75AF" w14:textId="5A549207" w:rsidR="00B778B2" w:rsidRDefault="0026568F" w:rsidP="00154B2A">
      <w:pPr>
        <w:pStyle w:val="Default"/>
        <w:numPr>
          <w:ilvl w:val="0"/>
          <w:numId w:val="3"/>
        </w:numPr>
        <w:rPr>
          <w:color w:val="auto"/>
          <w:sz w:val="22"/>
          <w:szCs w:val="22"/>
        </w:rPr>
      </w:pPr>
      <w:r>
        <w:rPr>
          <w:color w:val="auto"/>
          <w:sz w:val="22"/>
          <w:szCs w:val="22"/>
        </w:rPr>
        <w:t xml:space="preserve">F86X </w:t>
      </w:r>
      <w:r w:rsidR="00B778B2" w:rsidRPr="00AF6E7F">
        <w:rPr>
          <w:color w:val="auto"/>
          <w:sz w:val="22"/>
          <w:szCs w:val="22"/>
        </w:rPr>
        <w:t xml:space="preserve">35 </w:t>
      </w:r>
      <w:r w:rsidR="00B778B2" w:rsidRPr="00AF6E7F">
        <w:rPr>
          <w:color w:val="auto"/>
          <w:sz w:val="22"/>
          <w:szCs w:val="22"/>
        </w:rPr>
        <w:tab/>
        <w:t>Income Tax (IT)</w:t>
      </w:r>
    </w:p>
    <w:p w14:paraId="51F03B2F" w14:textId="62D0F73B" w:rsidR="00B778B2" w:rsidRDefault="00B778B2" w:rsidP="00154B2A">
      <w:pPr>
        <w:pStyle w:val="Default"/>
        <w:numPr>
          <w:ilvl w:val="0"/>
          <w:numId w:val="3"/>
        </w:numPr>
        <w:rPr>
          <w:color w:val="auto"/>
          <w:sz w:val="22"/>
          <w:szCs w:val="22"/>
        </w:rPr>
      </w:pPr>
      <w:r w:rsidRPr="00AF6E7F">
        <w:rPr>
          <w:color w:val="auto"/>
          <w:sz w:val="22"/>
          <w:szCs w:val="22"/>
        </w:rPr>
        <w:t xml:space="preserve">F82J 35 </w:t>
      </w:r>
      <w:r w:rsidRPr="00AF6E7F">
        <w:rPr>
          <w:color w:val="auto"/>
          <w:sz w:val="22"/>
          <w:szCs w:val="22"/>
        </w:rPr>
        <w:tab/>
        <w:t>Management Accounting for Decision Making (MADM</w:t>
      </w:r>
      <w:r>
        <w:rPr>
          <w:color w:val="auto"/>
          <w:sz w:val="22"/>
          <w:szCs w:val="22"/>
        </w:rPr>
        <w:t>)</w:t>
      </w:r>
    </w:p>
    <w:p w14:paraId="6BA78A6E" w14:textId="77777777" w:rsidR="00B778B2" w:rsidRDefault="00B778B2" w:rsidP="00B778B2">
      <w:pPr>
        <w:pStyle w:val="Default"/>
        <w:numPr>
          <w:ilvl w:val="0"/>
          <w:numId w:val="3"/>
        </w:numPr>
        <w:rPr>
          <w:color w:val="auto"/>
          <w:sz w:val="22"/>
          <w:szCs w:val="22"/>
        </w:rPr>
      </w:pPr>
      <w:r>
        <w:rPr>
          <w:color w:val="auto"/>
          <w:sz w:val="22"/>
          <w:szCs w:val="22"/>
        </w:rPr>
        <w:t>H4J9 34</w:t>
      </w:r>
      <w:r>
        <w:rPr>
          <w:color w:val="auto"/>
          <w:sz w:val="22"/>
          <w:szCs w:val="22"/>
        </w:rPr>
        <w:tab/>
        <w:t>Payroll</w:t>
      </w:r>
    </w:p>
    <w:p w14:paraId="0D796420" w14:textId="4D70DBB6" w:rsidR="001F4937" w:rsidRPr="00AF6E7F" w:rsidRDefault="00F0548A" w:rsidP="00154B2A">
      <w:pPr>
        <w:pStyle w:val="Default"/>
        <w:numPr>
          <w:ilvl w:val="0"/>
          <w:numId w:val="3"/>
        </w:numPr>
        <w:rPr>
          <w:color w:val="auto"/>
          <w:sz w:val="22"/>
          <w:szCs w:val="22"/>
        </w:rPr>
      </w:pPr>
      <w:r w:rsidRPr="00AF6E7F">
        <w:rPr>
          <w:color w:val="auto"/>
          <w:sz w:val="22"/>
          <w:szCs w:val="22"/>
        </w:rPr>
        <w:t xml:space="preserve">HH81 </w:t>
      </w:r>
      <w:r w:rsidR="001F4937" w:rsidRPr="00AF6E7F">
        <w:rPr>
          <w:color w:val="auto"/>
          <w:sz w:val="22"/>
          <w:szCs w:val="22"/>
        </w:rPr>
        <w:t xml:space="preserve">33 </w:t>
      </w:r>
      <w:r w:rsidR="00786F92" w:rsidRPr="00AF6E7F">
        <w:rPr>
          <w:color w:val="auto"/>
          <w:sz w:val="22"/>
          <w:szCs w:val="22"/>
        </w:rPr>
        <w:tab/>
      </w:r>
      <w:r w:rsidR="001F4937" w:rsidRPr="00AF6E7F">
        <w:rPr>
          <w:color w:val="auto"/>
          <w:sz w:val="22"/>
          <w:szCs w:val="22"/>
        </w:rPr>
        <w:t xml:space="preserve">Recording Financial Transactions (RFT) </w:t>
      </w:r>
    </w:p>
    <w:p w14:paraId="2CFC1C6B" w14:textId="77777777" w:rsidR="009C7756" w:rsidRDefault="001F4937" w:rsidP="0098041A">
      <w:pPr>
        <w:pStyle w:val="Default"/>
        <w:numPr>
          <w:ilvl w:val="0"/>
          <w:numId w:val="3"/>
        </w:numPr>
        <w:rPr>
          <w:color w:val="auto"/>
          <w:sz w:val="22"/>
          <w:szCs w:val="22"/>
        </w:rPr>
      </w:pPr>
      <w:r w:rsidRPr="00B778B2">
        <w:rPr>
          <w:color w:val="auto"/>
          <w:sz w:val="22"/>
          <w:szCs w:val="22"/>
        </w:rPr>
        <w:t xml:space="preserve">F7JV 34 </w:t>
      </w:r>
      <w:r w:rsidR="00786F92" w:rsidRPr="00B778B2">
        <w:rPr>
          <w:color w:val="auto"/>
          <w:sz w:val="22"/>
          <w:szCs w:val="22"/>
        </w:rPr>
        <w:tab/>
      </w:r>
      <w:r w:rsidRPr="00B778B2">
        <w:rPr>
          <w:color w:val="auto"/>
          <w:sz w:val="22"/>
          <w:szCs w:val="22"/>
        </w:rPr>
        <w:t>Recording Financial Information (RFI)</w:t>
      </w:r>
    </w:p>
    <w:p w14:paraId="241C361F" w14:textId="5170209B" w:rsidR="00F14BB0" w:rsidRDefault="00F14BB0" w:rsidP="0098041A">
      <w:pPr>
        <w:pStyle w:val="Default"/>
        <w:numPr>
          <w:ilvl w:val="0"/>
          <w:numId w:val="3"/>
        </w:numPr>
        <w:rPr>
          <w:color w:val="auto"/>
          <w:sz w:val="22"/>
          <w:szCs w:val="22"/>
        </w:rPr>
      </w:pPr>
      <w:r>
        <w:rPr>
          <w:color w:val="auto"/>
          <w:sz w:val="22"/>
          <w:szCs w:val="22"/>
        </w:rPr>
        <w:t>F8KF 35    Accounting: Graded Unit 2</w:t>
      </w:r>
    </w:p>
    <w:p w14:paraId="0A05AB77" w14:textId="76BD041D" w:rsidR="000F1296" w:rsidRDefault="000F1296" w:rsidP="0098041A">
      <w:pPr>
        <w:pStyle w:val="Default"/>
        <w:numPr>
          <w:ilvl w:val="0"/>
          <w:numId w:val="3"/>
        </w:numPr>
        <w:rPr>
          <w:color w:val="auto"/>
          <w:sz w:val="22"/>
          <w:szCs w:val="22"/>
        </w:rPr>
      </w:pPr>
      <w:r>
        <w:rPr>
          <w:color w:val="auto"/>
          <w:sz w:val="22"/>
          <w:szCs w:val="22"/>
        </w:rPr>
        <w:t>F8KG 35   Accounting: Graded Unit 3</w:t>
      </w:r>
    </w:p>
    <w:p w14:paraId="23A394BF" w14:textId="77777777" w:rsidR="004C0F58" w:rsidRPr="00B778B2" w:rsidRDefault="004C0F58" w:rsidP="004C0F58">
      <w:pPr>
        <w:pStyle w:val="Default"/>
        <w:rPr>
          <w:color w:val="auto"/>
          <w:sz w:val="22"/>
          <w:szCs w:val="22"/>
        </w:rPr>
      </w:pPr>
    </w:p>
    <w:p w14:paraId="5DDF4405" w14:textId="77777777" w:rsidR="00154B2A" w:rsidRPr="00AF6E7F" w:rsidRDefault="00154B2A" w:rsidP="00154B2A">
      <w:pPr>
        <w:pStyle w:val="Default"/>
        <w:rPr>
          <w:color w:val="auto"/>
          <w:sz w:val="22"/>
          <w:szCs w:val="22"/>
        </w:rPr>
      </w:pPr>
    </w:p>
    <w:p w14:paraId="59415213" w14:textId="77777777" w:rsidR="001F4937" w:rsidRPr="00AF6E7F" w:rsidRDefault="001F4937" w:rsidP="001F4937">
      <w:pPr>
        <w:pStyle w:val="Default"/>
        <w:rPr>
          <w:b/>
          <w:bCs/>
          <w:color w:val="auto"/>
          <w:sz w:val="22"/>
          <w:szCs w:val="22"/>
        </w:rPr>
      </w:pPr>
      <w:r w:rsidRPr="00AF6E7F">
        <w:rPr>
          <w:b/>
          <w:bCs/>
          <w:color w:val="auto"/>
          <w:sz w:val="22"/>
          <w:szCs w:val="22"/>
        </w:rPr>
        <w:t xml:space="preserve">Background </w:t>
      </w:r>
    </w:p>
    <w:p w14:paraId="39F69013" w14:textId="77777777" w:rsidR="00CE2E63" w:rsidRPr="00AF6E7F" w:rsidRDefault="00CE2E63" w:rsidP="001F4937">
      <w:pPr>
        <w:pStyle w:val="Default"/>
        <w:rPr>
          <w:color w:val="auto"/>
          <w:sz w:val="22"/>
          <w:szCs w:val="22"/>
        </w:rPr>
      </w:pPr>
    </w:p>
    <w:p w14:paraId="42D0EB9C" w14:textId="0A2C7A90" w:rsidR="00812950" w:rsidRDefault="001F4937" w:rsidP="00C235EA">
      <w:pPr>
        <w:rPr>
          <w:sz w:val="22"/>
          <w:szCs w:val="22"/>
        </w:rPr>
      </w:pPr>
      <w:r w:rsidRPr="00AF6E7F">
        <w:rPr>
          <w:sz w:val="22"/>
          <w:szCs w:val="22"/>
        </w:rPr>
        <w:t>UK taxation legislation changes each year</w:t>
      </w:r>
      <w:r w:rsidR="004C0F58">
        <w:rPr>
          <w:sz w:val="22"/>
          <w:szCs w:val="22"/>
        </w:rPr>
        <w:t xml:space="preserve"> -</w:t>
      </w:r>
      <w:r w:rsidRPr="00AF6E7F">
        <w:rPr>
          <w:sz w:val="22"/>
          <w:szCs w:val="22"/>
        </w:rPr>
        <w:t xml:space="preserve"> based on the UK Government’s Annual Budget</w:t>
      </w:r>
      <w:r w:rsidR="004C0F58">
        <w:rPr>
          <w:sz w:val="22"/>
          <w:szCs w:val="22"/>
        </w:rPr>
        <w:t xml:space="preserve"> </w:t>
      </w:r>
      <w:r w:rsidR="00F14BB0">
        <w:rPr>
          <w:sz w:val="22"/>
          <w:szCs w:val="22"/>
        </w:rPr>
        <w:t xml:space="preserve">normally </w:t>
      </w:r>
      <w:r w:rsidR="004C0F58">
        <w:rPr>
          <w:sz w:val="22"/>
          <w:szCs w:val="22"/>
        </w:rPr>
        <w:t>held</w:t>
      </w:r>
      <w:r w:rsidR="00D24EA8">
        <w:rPr>
          <w:sz w:val="22"/>
          <w:szCs w:val="22"/>
        </w:rPr>
        <w:t xml:space="preserve"> in </w:t>
      </w:r>
      <w:r w:rsidR="004C0F58">
        <w:rPr>
          <w:sz w:val="22"/>
          <w:szCs w:val="22"/>
        </w:rPr>
        <w:t>the autumn of each year</w:t>
      </w:r>
      <w:r w:rsidR="008C61B4">
        <w:rPr>
          <w:sz w:val="22"/>
          <w:szCs w:val="22"/>
        </w:rPr>
        <w:t xml:space="preserve">.  </w:t>
      </w:r>
      <w:r w:rsidR="00812950">
        <w:rPr>
          <w:sz w:val="22"/>
          <w:szCs w:val="22"/>
        </w:rPr>
        <w:t>This enable</w:t>
      </w:r>
      <w:r w:rsidR="00C235EA">
        <w:rPr>
          <w:sz w:val="22"/>
          <w:szCs w:val="22"/>
        </w:rPr>
        <w:t>s</w:t>
      </w:r>
      <w:r w:rsidR="00812950">
        <w:rPr>
          <w:sz w:val="22"/>
          <w:szCs w:val="22"/>
        </w:rPr>
        <w:t xml:space="preserve"> changes to be incorporated in the next financial year.</w:t>
      </w:r>
      <w:r w:rsidR="00C235EA">
        <w:rPr>
          <w:sz w:val="22"/>
          <w:szCs w:val="22"/>
        </w:rPr>
        <w:t xml:space="preserve">  In the event of exceptional circumstances timings can be subject to change.  </w:t>
      </w:r>
    </w:p>
    <w:p w14:paraId="57997DFC" w14:textId="77777777" w:rsidR="00812950" w:rsidRDefault="00812950" w:rsidP="003163FF">
      <w:pPr>
        <w:pStyle w:val="Default"/>
        <w:jc w:val="both"/>
        <w:rPr>
          <w:color w:val="auto"/>
          <w:sz w:val="22"/>
          <w:szCs w:val="22"/>
        </w:rPr>
      </w:pPr>
    </w:p>
    <w:p w14:paraId="2AB7027D" w14:textId="12A064E9" w:rsidR="00812950" w:rsidRDefault="00812950" w:rsidP="003163FF">
      <w:pPr>
        <w:pStyle w:val="Default"/>
        <w:jc w:val="both"/>
        <w:rPr>
          <w:color w:val="auto"/>
          <w:sz w:val="22"/>
          <w:szCs w:val="22"/>
        </w:rPr>
      </w:pPr>
      <w:r>
        <w:rPr>
          <w:color w:val="auto"/>
          <w:sz w:val="22"/>
          <w:szCs w:val="22"/>
        </w:rPr>
        <w:t>Some tax powers have been</w:t>
      </w:r>
      <w:r w:rsidR="003163FF" w:rsidRPr="00AF6E7F">
        <w:rPr>
          <w:color w:val="auto"/>
          <w:sz w:val="22"/>
          <w:szCs w:val="22"/>
        </w:rPr>
        <w:t xml:space="preserve"> devolved </w:t>
      </w:r>
      <w:r>
        <w:rPr>
          <w:color w:val="auto"/>
          <w:sz w:val="22"/>
          <w:szCs w:val="22"/>
        </w:rPr>
        <w:t>to</w:t>
      </w:r>
      <w:r w:rsidR="003163FF" w:rsidRPr="00AF6E7F">
        <w:rPr>
          <w:color w:val="auto"/>
          <w:sz w:val="22"/>
          <w:szCs w:val="22"/>
        </w:rPr>
        <w:t xml:space="preserve"> the Scottish Government</w:t>
      </w:r>
      <w:r>
        <w:rPr>
          <w:color w:val="auto"/>
          <w:sz w:val="22"/>
          <w:szCs w:val="22"/>
        </w:rPr>
        <w:t xml:space="preserve">. </w:t>
      </w:r>
      <w:r w:rsidR="003F562C">
        <w:rPr>
          <w:color w:val="auto"/>
          <w:sz w:val="22"/>
          <w:szCs w:val="22"/>
        </w:rPr>
        <w:t xml:space="preserve"> </w:t>
      </w:r>
      <w:r>
        <w:rPr>
          <w:color w:val="auto"/>
          <w:sz w:val="22"/>
          <w:szCs w:val="22"/>
        </w:rPr>
        <w:t xml:space="preserve">The Scottish Government can make changes to the rate </w:t>
      </w:r>
      <w:r w:rsidR="003F562C">
        <w:rPr>
          <w:color w:val="auto"/>
          <w:sz w:val="22"/>
          <w:szCs w:val="22"/>
        </w:rPr>
        <w:t xml:space="preserve">and bands </w:t>
      </w:r>
      <w:r>
        <w:rPr>
          <w:color w:val="auto"/>
          <w:sz w:val="22"/>
          <w:szCs w:val="22"/>
        </w:rPr>
        <w:t xml:space="preserve">of income </w:t>
      </w:r>
      <w:r w:rsidR="003F562C">
        <w:rPr>
          <w:color w:val="auto"/>
          <w:sz w:val="22"/>
          <w:szCs w:val="22"/>
        </w:rPr>
        <w:t>tax on earnings</w:t>
      </w:r>
      <w:r>
        <w:rPr>
          <w:color w:val="auto"/>
          <w:sz w:val="22"/>
          <w:szCs w:val="22"/>
        </w:rPr>
        <w:t>; the rates and bands of income tax on non-savings and non-dividend income; and Air Passenger Duty.  However, they are not able to alter the rates of National Insurance</w:t>
      </w:r>
      <w:r w:rsidR="003F562C">
        <w:rPr>
          <w:color w:val="auto"/>
          <w:sz w:val="22"/>
          <w:szCs w:val="22"/>
        </w:rPr>
        <w:t>,</w:t>
      </w:r>
      <w:r>
        <w:rPr>
          <w:color w:val="auto"/>
          <w:sz w:val="22"/>
          <w:szCs w:val="22"/>
        </w:rPr>
        <w:t xml:space="preserve"> VAT, Corporation Tax or personal allowances.</w:t>
      </w:r>
    </w:p>
    <w:p w14:paraId="05F00BE5" w14:textId="77777777" w:rsidR="00812950" w:rsidRDefault="00812950" w:rsidP="003163FF">
      <w:pPr>
        <w:pStyle w:val="Default"/>
        <w:jc w:val="both"/>
        <w:rPr>
          <w:color w:val="auto"/>
          <w:sz w:val="22"/>
          <w:szCs w:val="22"/>
        </w:rPr>
      </w:pPr>
    </w:p>
    <w:p w14:paraId="4301F554" w14:textId="2EB2EA85" w:rsidR="003163FF" w:rsidRPr="00AF6E7F" w:rsidRDefault="003163FF" w:rsidP="003163FF">
      <w:pPr>
        <w:pStyle w:val="Default"/>
        <w:jc w:val="both"/>
        <w:rPr>
          <w:color w:val="auto"/>
          <w:sz w:val="22"/>
          <w:szCs w:val="22"/>
        </w:rPr>
      </w:pPr>
      <w:r w:rsidRPr="00AF6E7F">
        <w:rPr>
          <w:color w:val="auto"/>
          <w:sz w:val="22"/>
          <w:szCs w:val="22"/>
        </w:rPr>
        <w:t xml:space="preserve">As an SQA centre, you are permitted to use </w:t>
      </w:r>
      <w:r w:rsidRPr="00911E69">
        <w:rPr>
          <w:b/>
          <w:color w:val="auto"/>
          <w:sz w:val="22"/>
          <w:szCs w:val="22"/>
        </w:rPr>
        <w:t xml:space="preserve">either </w:t>
      </w:r>
      <w:r w:rsidR="00812950">
        <w:rPr>
          <w:b/>
          <w:color w:val="auto"/>
          <w:sz w:val="22"/>
          <w:szCs w:val="22"/>
        </w:rPr>
        <w:t xml:space="preserve">Scottish </w:t>
      </w:r>
      <w:r w:rsidRPr="00911E69">
        <w:rPr>
          <w:b/>
          <w:color w:val="auto"/>
          <w:sz w:val="22"/>
          <w:szCs w:val="22"/>
        </w:rPr>
        <w:t xml:space="preserve">or </w:t>
      </w:r>
      <w:r w:rsidR="00812950">
        <w:rPr>
          <w:b/>
          <w:color w:val="auto"/>
          <w:sz w:val="22"/>
          <w:szCs w:val="22"/>
        </w:rPr>
        <w:t>UK</w:t>
      </w:r>
      <w:r w:rsidRPr="00911E69">
        <w:rPr>
          <w:b/>
          <w:color w:val="auto"/>
          <w:sz w:val="22"/>
          <w:szCs w:val="22"/>
        </w:rPr>
        <w:t xml:space="preserve"> </w:t>
      </w:r>
      <w:r w:rsidR="008C48BB" w:rsidRPr="00911E69">
        <w:rPr>
          <w:b/>
          <w:color w:val="auto"/>
          <w:sz w:val="22"/>
          <w:szCs w:val="22"/>
        </w:rPr>
        <w:t xml:space="preserve">tax </w:t>
      </w:r>
      <w:r w:rsidRPr="00911E69">
        <w:rPr>
          <w:b/>
          <w:color w:val="auto"/>
          <w:sz w:val="22"/>
          <w:szCs w:val="22"/>
        </w:rPr>
        <w:t>legislation</w:t>
      </w:r>
      <w:r w:rsidRPr="00AF6E7F">
        <w:rPr>
          <w:color w:val="auto"/>
          <w:sz w:val="22"/>
          <w:szCs w:val="22"/>
        </w:rPr>
        <w:t xml:space="preserve">, but you </w:t>
      </w:r>
      <w:r w:rsidRPr="00911E69">
        <w:rPr>
          <w:b/>
          <w:color w:val="auto"/>
          <w:sz w:val="22"/>
          <w:szCs w:val="22"/>
        </w:rPr>
        <w:t>must be consistent</w:t>
      </w:r>
      <w:r w:rsidR="00E75C1F" w:rsidRPr="00911E69">
        <w:rPr>
          <w:b/>
          <w:color w:val="auto"/>
          <w:sz w:val="22"/>
          <w:szCs w:val="22"/>
        </w:rPr>
        <w:t xml:space="preserve"> in your </w:t>
      </w:r>
      <w:r w:rsidRPr="00911E69">
        <w:rPr>
          <w:b/>
          <w:color w:val="auto"/>
          <w:sz w:val="22"/>
          <w:szCs w:val="22"/>
        </w:rPr>
        <w:t>approach</w:t>
      </w:r>
      <w:r w:rsidRPr="00AF6E7F">
        <w:rPr>
          <w:color w:val="auto"/>
          <w:sz w:val="22"/>
          <w:szCs w:val="22"/>
        </w:rPr>
        <w:t xml:space="preserve">. </w:t>
      </w:r>
      <w:r w:rsidR="00812950">
        <w:rPr>
          <w:color w:val="auto"/>
          <w:sz w:val="22"/>
          <w:szCs w:val="22"/>
        </w:rPr>
        <w:t xml:space="preserve"> </w:t>
      </w:r>
      <w:r w:rsidR="00E75C1F" w:rsidRPr="00AF6E7F">
        <w:rPr>
          <w:color w:val="auto"/>
          <w:sz w:val="22"/>
          <w:szCs w:val="22"/>
        </w:rPr>
        <w:t xml:space="preserve">It would be useful if centres identified in their internal verification of </w:t>
      </w:r>
      <w:r w:rsidR="00812950">
        <w:rPr>
          <w:color w:val="auto"/>
          <w:sz w:val="22"/>
          <w:szCs w:val="22"/>
        </w:rPr>
        <w:t>U</w:t>
      </w:r>
      <w:r w:rsidR="00E75C1F" w:rsidRPr="00AF6E7F">
        <w:rPr>
          <w:color w:val="auto"/>
          <w:sz w:val="22"/>
          <w:szCs w:val="22"/>
        </w:rPr>
        <w:t>nits</w:t>
      </w:r>
      <w:r w:rsidR="00812950">
        <w:rPr>
          <w:color w:val="auto"/>
          <w:sz w:val="22"/>
          <w:szCs w:val="22"/>
        </w:rPr>
        <w:t xml:space="preserve"> with tax content</w:t>
      </w:r>
      <w:r w:rsidR="00E75C1F" w:rsidRPr="00AF6E7F">
        <w:rPr>
          <w:color w:val="auto"/>
          <w:sz w:val="22"/>
          <w:szCs w:val="22"/>
        </w:rPr>
        <w:t xml:space="preserve"> whether they have </w:t>
      </w:r>
      <w:r w:rsidR="00EF08D0" w:rsidRPr="00AF6E7F">
        <w:rPr>
          <w:color w:val="auto"/>
          <w:sz w:val="22"/>
          <w:szCs w:val="22"/>
        </w:rPr>
        <w:t>taught and assessed</w:t>
      </w:r>
      <w:r w:rsidR="00E75C1F" w:rsidRPr="00AF6E7F">
        <w:rPr>
          <w:color w:val="auto"/>
          <w:sz w:val="22"/>
          <w:szCs w:val="22"/>
        </w:rPr>
        <w:t xml:space="preserve"> </w:t>
      </w:r>
      <w:r w:rsidR="00AF6E7F" w:rsidRPr="00AF6E7F">
        <w:rPr>
          <w:color w:val="auto"/>
          <w:sz w:val="22"/>
          <w:szCs w:val="22"/>
        </w:rPr>
        <w:t xml:space="preserve">using </w:t>
      </w:r>
      <w:r w:rsidR="00812950">
        <w:rPr>
          <w:color w:val="auto"/>
          <w:sz w:val="22"/>
          <w:szCs w:val="22"/>
        </w:rPr>
        <w:t>Scottish</w:t>
      </w:r>
      <w:r w:rsidR="00E75C1F" w:rsidRPr="00AF6E7F">
        <w:rPr>
          <w:color w:val="auto"/>
          <w:sz w:val="22"/>
          <w:szCs w:val="22"/>
        </w:rPr>
        <w:t xml:space="preserve"> or </w:t>
      </w:r>
      <w:r w:rsidR="00812950">
        <w:rPr>
          <w:color w:val="auto"/>
          <w:sz w:val="22"/>
          <w:szCs w:val="22"/>
        </w:rPr>
        <w:t>UK</w:t>
      </w:r>
      <w:r w:rsidR="00E75C1F" w:rsidRPr="00AF6E7F">
        <w:rPr>
          <w:color w:val="auto"/>
          <w:sz w:val="22"/>
          <w:szCs w:val="22"/>
        </w:rPr>
        <w:t xml:space="preserve"> legislation.  </w:t>
      </w:r>
      <w:r w:rsidR="008C48BB" w:rsidRPr="00AF6E7F">
        <w:rPr>
          <w:color w:val="auto"/>
          <w:sz w:val="22"/>
          <w:szCs w:val="22"/>
        </w:rPr>
        <w:t xml:space="preserve">Despite this, when </w:t>
      </w:r>
      <w:r w:rsidR="003F562C">
        <w:rPr>
          <w:color w:val="auto"/>
          <w:sz w:val="22"/>
          <w:szCs w:val="22"/>
        </w:rPr>
        <w:t>delivering the Unit</w:t>
      </w:r>
      <w:r w:rsidR="001F4937" w:rsidRPr="00AF6E7F">
        <w:rPr>
          <w:color w:val="auto"/>
          <w:sz w:val="22"/>
          <w:szCs w:val="22"/>
        </w:rPr>
        <w:t xml:space="preserve"> </w:t>
      </w:r>
      <w:r w:rsidR="001F4937" w:rsidRPr="00AF6E7F">
        <w:rPr>
          <w:i/>
          <w:iCs/>
          <w:color w:val="auto"/>
          <w:sz w:val="22"/>
          <w:szCs w:val="22"/>
        </w:rPr>
        <w:t>Income Tax (F86X 35)</w:t>
      </w:r>
      <w:r w:rsidR="008C48BB" w:rsidRPr="00AF6E7F">
        <w:rPr>
          <w:color w:val="auto"/>
          <w:sz w:val="22"/>
          <w:szCs w:val="22"/>
        </w:rPr>
        <w:t>,</w:t>
      </w:r>
      <w:r w:rsidR="001F4937" w:rsidRPr="00AF6E7F">
        <w:rPr>
          <w:color w:val="auto"/>
          <w:sz w:val="22"/>
          <w:szCs w:val="22"/>
        </w:rPr>
        <w:t xml:space="preserve"> the main update of material </w:t>
      </w:r>
      <w:r w:rsidR="00EF08D0" w:rsidRPr="00AF6E7F">
        <w:rPr>
          <w:color w:val="auto"/>
          <w:sz w:val="22"/>
          <w:szCs w:val="22"/>
        </w:rPr>
        <w:t>should be based on the tax rates which are current at the start of</w:t>
      </w:r>
      <w:r w:rsidR="003F562C">
        <w:rPr>
          <w:color w:val="auto"/>
          <w:sz w:val="22"/>
          <w:szCs w:val="22"/>
        </w:rPr>
        <w:t xml:space="preserve"> the academic session when the U</w:t>
      </w:r>
      <w:r w:rsidR="00EF08D0" w:rsidRPr="00AF6E7F">
        <w:rPr>
          <w:color w:val="auto"/>
          <w:sz w:val="22"/>
          <w:szCs w:val="22"/>
        </w:rPr>
        <w:t xml:space="preserve">nit is taught.  </w:t>
      </w:r>
      <w:r w:rsidR="001F4937" w:rsidRPr="00AF6E7F">
        <w:rPr>
          <w:color w:val="auto"/>
          <w:sz w:val="22"/>
          <w:szCs w:val="22"/>
        </w:rPr>
        <w:t>The need to regularly update the ma</w:t>
      </w:r>
      <w:r w:rsidR="00AF6E7F" w:rsidRPr="00AF6E7F">
        <w:rPr>
          <w:color w:val="auto"/>
          <w:sz w:val="22"/>
          <w:szCs w:val="22"/>
        </w:rPr>
        <w:t xml:space="preserve">terials to support Units with </w:t>
      </w:r>
      <w:r w:rsidR="001F4937" w:rsidRPr="00AF6E7F">
        <w:rPr>
          <w:color w:val="auto"/>
          <w:sz w:val="22"/>
          <w:szCs w:val="22"/>
        </w:rPr>
        <w:t>tax content is two</w:t>
      </w:r>
      <w:r w:rsidR="00A91668">
        <w:rPr>
          <w:color w:val="auto"/>
          <w:sz w:val="22"/>
          <w:szCs w:val="22"/>
        </w:rPr>
        <w:t>-</w:t>
      </w:r>
      <w:r w:rsidR="001F4937" w:rsidRPr="00AF6E7F">
        <w:rPr>
          <w:color w:val="auto"/>
          <w:sz w:val="22"/>
          <w:szCs w:val="22"/>
        </w:rPr>
        <w:t xml:space="preserve">fold: </w:t>
      </w:r>
    </w:p>
    <w:p w14:paraId="56C6D451" w14:textId="77777777" w:rsidR="00812950" w:rsidRDefault="00812950">
      <w:pPr>
        <w:rPr>
          <w:sz w:val="22"/>
          <w:szCs w:val="22"/>
        </w:rPr>
      </w:pPr>
      <w:r>
        <w:rPr>
          <w:sz w:val="22"/>
          <w:szCs w:val="22"/>
        </w:rPr>
        <w:lastRenderedPageBreak/>
        <w:br w:type="page"/>
      </w:r>
    </w:p>
    <w:p w14:paraId="14F4EFA1" w14:textId="2461CB74" w:rsidR="001F4937" w:rsidRPr="00AF6E7F" w:rsidRDefault="001F4937" w:rsidP="00C70268">
      <w:pPr>
        <w:pStyle w:val="Default"/>
        <w:numPr>
          <w:ilvl w:val="0"/>
          <w:numId w:val="7"/>
        </w:numPr>
        <w:ind w:left="360"/>
        <w:jc w:val="both"/>
        <w:rPr>
          <w:color w:val="auto"/>
          <w:sz w:val="22"/>
          <w:szCs w:val="22"/>
        </w:rPr>
      </w:pPr>
      <w:r w:rsidRPr="00AF6E7F">
        <w:rPr>
          <w:color w:val="auto"/>
          <w:sz w:val="22"/>
          <w:szCs w:val="22"/>
        </w:rPr>
        <w:lastRenderedPageBreak/>
        <w:t xml:space="preserve">To ensure that </w:t>
      </w:r>
      <w:r w:rsidR="004C0F58">
        <w:rPr>
          <w:color w:val="auto"/>
          <w:sz w:val="22"/>
          <w:szCs w:val="22"/>
        </w:rPr>
        <w:t>learner</w:t>
      </w:r>
      <w:r w:rsidRPr="00AF6E7F">
        <w:rPr>
          <w:color w:val="auto"/>
          <w:sz w:val="22"/>
          <w:szCs w:val="22"/>
        </w:rPr>
        <w:t>s</w:t>
      </w:r>
      <w:r w:rsidR="00B44DA9">
        <w:rPr>
          <w:color w:val="auto"/>
          <w:sz w:val="22"/>
          <w:szCs w:val="22"/>
        </w:rPr>
        <w:t xml:space="preserve"> in centres</w:t>
      </w:r>
      <w:r w:rsidRPr="00AF6E7F">
        <w:rPr>
          <w:color w:val="auto"/>
          <w:sz w:val="22"/>
          <w:szCs w:val="22"/>
        </w:rPr>
        <w:t xml:space="preserve"> are covering material which is current and relevant to the financial world at any one point in time </w:t>
      </w:r>
    </w:p>
    <w:p w14:paraId="1399A505" w14:textId="77777777" w:rsidR="003163FF" w:rsidRPr="00AF6E7F" w:rsidRDefault="003163FF" w:rsidP="00C70268">
      <w:pPr>
        <w:pStyle w:val="Default"/>
        <w:ind w:left="360"/>
        <w:jc w:val="both"/>
        <w:rPr>
          <w:color w:val="auto"/>
          <w:sz w:val="22"/>
          <w:szCs w:val="22"/>
        </w:rPr>
      </w:pPr>
    </w:p>
    <w:p w14:paraId="085C66C5" w14:textId="77777777" w:rsidR="001F4937" w:rsidRPr="00AF6E7F" w:rsidRDefault="001F4937" w:rsidP="00C70268">
      <w:pPr>
        <w:pStyle w:val="Default"/>
        <w:numPr>
          <w:ilvl w:val="0"/>
          <w:numId w:val="4"/>
        </w:numPr>
        <w:ind w:left="360"/>
        <w:jc w:val="both"/>
        <w:rPr>
          <w:color w:val="auto"/>
          <w:sz w:val="22"/>
          <w:szCs w:val="22"/>
        </w:rPr>
      </w:pPr>
      <w:r w:rsidRPr="00AF6E7F">
        <w:rPr>
          <w:color w:val="auto"/>
          <w:sz w:val="22"/>
          <w:szCs w:val="22"/>
        </w:rPr>
        <w:t xml:space="preserve">To ensure that those teaching and those learning are aware that they must keep up to date with current legislation which is subject to constant change in the business environment </w:t>
      </w:r>
    </w:p>
    <w:p w14:paraId="5BDF3EA6" w14:textId="77777777" w:rsidR="00154B2A" w:rsidRPr="00AF6E7F" w:rsidRDefault="00154B2A" w:rsidP="00154B2A">
      <w:pPr>
        <w:pStyle w:val="Default"/>
        <w:rPr>
          <w:color w:val="auto"/>
          <w:sz w:val="22"/>
          <w:szCs w:val="22"/>
        </w:rPr>
      </w:pPr>
    </w:p>
    <w:p w14:paraId="1E735128" w14:textId="01EF6E41" w:rsidR="001F4937" w:rsidRPr="00AF6E7F" w:rsidRDefault="001F4937" w:rsidP="00786F92">
      <w:pPr>
        <w:pStyle w:val="Default"/>
        <w:jc w:val="both"/>
        <w:rPr>
          <w:color w:val="auto"/>
          <w:sz w:val="22"/>
          <w:szCs w:val="22"/>
        </w:rPr>
      </w:pPr>
      <w:r w:rsidRPr="00AF6E7F">
        <w:rPr>
          <w:color w:val="auto"/>
          <w:sz w:val="22"/>
          <w:szCs w:val="22"/>
        </w:rPr>
        <w:t xml:space="preserve">This is good practice within the sector and will ensure that all </w:t>
      </w:r>
      <w:r w:rsidR="004C0F58">
        <w:rPr>
          <w:color w:val="auto"/>
          <w:sz w:val="22"/>
          <w:szCs w:val="22"/>
        </w:rPr>
        <w:t>learner</w:t>
      </w:r>
      <w:r w:rsidRPr="00AF6E7F">
        <w:rPr>
          <w:color w:val="auto"/>
          <w:sz w:val="22"/>
          <w:szCs w:val="22"/>
        </w:rPr>
        <w:t xml:space="preserve">s entering the workplace in a financial role understand the requirement to maintain currency and undertake Continuing Professional Development (CPD). </w:t>
      </w:r>
    </w:p>
    <w:p w14:paraId="48FD1FC2" w14:textId="77777777" w:rsidR="00154B2A" w:rsidRPr="00AF6E7F" w:rsidRDefault="00154B2A" w:rsidP="00154B2A">
      <w:pPr>
        <w:pStyle w:val="Default"/>
        <w:rPr>
          <w:color w:val="auto"/>
          <w:sz w:val="22"/>
          <w:szCs w:val="22"/>
        </w:rPr>
      </w:pPr>
    </w:p>
    <w:p w14:paraId="31B8201B" w14:textId="77777777" w:rsidR="00154B2A" w:rsidRPr="00AF6E7F" w:rsidRDefault="00154B2A" w:rsidP="00154B2A">
      <w:pPr>
        <w:pStyle w:val="Default"/>
        <w:rPr>
          <w:color w:val="auto"/>
          <w:sz w:val="22"/>
          <w:szCs w:val="22"/>
        </w:rPr>
      </w:pPr>
    </w:p>
    <w:p w14:paraId="7FB48259" w14:textId="77777777" w:rsidR="001F4937" w:rsidRPr="00AF6E7F" w:rsidRDefault="001F4937" w:rsidP="001F4937">
      <w:pPr>
        <w:pStyle w:val="Default"/>
        <w:rPr>
          <w:b/>
          <w:bCs/>
          <w:color w:val="auto"/>
          <w:sz w:val="22"/>
          <w:szCs w:val="22"/>
        </w:rPr>
      </w:pPr>
      <w:r w:rsidRPr="00AF6E7F">
        <w:rPr>
          <w:b/>
          <w:bCs/>
          <w:color w:val="auto"/>
          <w:sz w:val="22"/>
          <w:szCs w:val="22"/>
        </w:rPr>
        <w:t xml:space="preserve">The Process </w:t>
      </w:r>
    </w:p>
    <w:p w14:paraId="4AF988AB" w14:textId="77777777" w:rsidR="00154B2A" w:rsidRPr="00AF6E7F" w:rsidRDefault="00154B2A" w:rsidP="001F4937">
      <w:pPr>
        <w:pStyle w:val="Default"/>
        <w:rPr>
          <w:color w:val="auto"/>
          <w:sz w:val="22"/>
          <w:szCs w:val="22"/>
          <w:u w:val="single"/>
        </w:rPr>
      </w:pPr>
    </w:p>
    <w:p w14:paraId="61FCD72B" w14:textId="610D044D" w:rsidR="001F4937" w:rsidRPr="00AF6E7F" w:rsidRDefault="001F4937" w:rsidP="00786F92">
      <w:pPr>
        <w:pStyle w:val="Default"/>
        <w:jc w:val="both"/>
        <w:rPr>
          <w:color w:val="auto"/>
          <w:sz w:val="22"/>
          <w:szCs w:val="22"/>
        </w:rPr>
      </w:pPr>
      <w:r w:rsidRPr="00AF6E7F">
        <w:rPr>
          <w:color w:val="auto"/>
          <w:sz w:val="22"/>
          <w:szCs w:val="22"/>
        </w:rPr>
        <w:t xml:space="preserve">It is important that </w:t>
      </w:r>
      <w:r w:rsidR="00B44DA9">
        <w:rPr>
          <w:color w:val="auto"/>
          <w:sz w:val="22"/>
          <w:szCs w:val="22"/>
        </w:rPr>
        <w:t xml:space="preserve">centres </w:t>
      </w:r>
      <w:r w:rsidRPr="00AF6E7F">
        <w:rPr>
          <w:color w:val="auto"/>
          <w:sz w:val="22"/>
          <w:szCs w:val="22"/>
        </w:rPr>
        <w:t xml:space="preserve">ensure that the correct Unit Specification is used for the delivery of every Unit. The most up to date Unit Specification for each Unit can be found on the SQA website. </w:t>
      </w:r>
    </w:p>
    <w:p w14:paraId="3BD77EAA" w14:textId="77777777" w:rsidR="00154B2A" w:rsidRPr="00AF6E7F" w:rsidRDefault="00154B2A" w:rsidP="00786F92">
      <w:pPr>
        <w:pStyle w:val="Default"/>
        <w:jc w:val="both"/>
        <w:rPr>
          <w:color w:val="auto"/>
          <w:sz w:val="22"/>
          <w:szCs w:val="22"/>
        </w:rPr>
      </w:pPr>
    </w:p>
    <w:p w14:paraId="552304C4" w14:textId="7826E452" w:rsidR="001F4937" w:rsidRPr="00AF6E7F" w:rsidRDefault="009C7756" w:rsidP="00786F92">
      <w:pPr>
        <w:pStyle w:val="Default"/>
        <w:jc w:val="both"/>
        <w:rPr>
          <w:color w:val="auto"/>
          <w:sz w:val="22"/>
          <w:szCs w:val="22"/>
        </w:rPr>
      </w:pPr>
      <w:r>
        <w:rPr>
          <w:color w:val="auto"/>
          <w:sz w:val="22"/>
          <w:szCs w:val="22"/>
        </w:rPr>
        <w:t>C</w:t>
      </w:r>
      <w:r w:rsidR="001F4937" w:rsidRPr="00AF6E7F">
        <w:rPr>
          <w:color w:val="auto"/>
          <w:sz w:val="22"/>
          <w:szCs w:val="22"/>
        </w:rPr>
        <w:t xml:space="preserve">entres should note that not all of the Units listed will require to be updated on an annual </w:t>
      </w:r>
      <w:proofErr w:type="gramStart"/>
      <w:r w:rsidR="001F4937" w:rsidRPr="00AF6E7F">
        <w:rPr>
          <w:color w:val="auto"/>
          <w:sz w:val="22"/>
          <w:szCs w:val="22"/>
        </w:rPr>
        <w:t>basis</w:t>
      </w:r>
      <w:proofErr w:type="gramEnd"/>
      <w:r w:rsidR="00A91668">
        <w:rPr>
          <w:color w:val="auto"/>
          <w:sz w:val="22"/>
          <w:szCs w:val="22"/>
        </w:rPr>
        <w:t xml:space="preserve"> but they are subject to change</w:t>
      </w:r>
      <w:r w:rsidR="001F4937" w:rsidRPr="00AF6E7F">
        <w:rPr>
          <w:color w:val="auto"/>
          <w:sz w:val="22"/>
          <w:szCs w:val="22"/>
        </w:rPr>
        <w:t xml:space="preserve"> periodically based on current legislation. Examples of this include: </w:t>
      </w:r>
    </w:p>
    <w:p w14:paraId="3B7AB835" w14:textId="77777777" w:rsidR="00154B2A" w:rsidRPr="00AF6E7F" w:rsidRDefault="00154B2A" w:rsidP="001F4937">
      <w:pPr>
        <w:pStyle w:val="Default"/>
        <w:rPr>
          <w:color w:val="auto"/>
          <w:sz w:val="22"/>
          <w:szCs w:val="22"/>
        </w:rPr>
      </w:pPr>
    </w:p>
    <w:p w14:paraId="6DF99D65" w14:textId="26B6B251" w:rsidR="001F4937" w:rsidRPr="00AF6E7F" w:rsidRDefault="001F4937" w:rsidP="00786F92">
      <w:pPr>
        <w:pStyle w:val="Default"/>
        <w:numPr>
          <w:ilvl w:val="0"/>
          <w:numId w:val="5"/>
        </w:numPr>
        <w:jc w:val="both"/>
        <w:rPr>
          <w:color w:val="auto"/>
          <w:sz w:val="22"/>
          <w:szCs w:val="22"/>
        </w:rPr>
      </w:pPr>
      <w:r w:rsidRPr="00AF6E7F">
        <w:rPr>
          <w:i/>
          <w:iCs/>
          <w:color w:val="auto"/>
          <w:sz w:val="22"/>
          <w:szCs w:val="22"/>
        </w:rPr>
        <w:t>Recording Financial Transactions</w:t>
      </w:r>
      <w:r w:rsidRPr="00AF6E7F">
        <w:rPr>
          <w:color w:val="auto"/>
          <w:sz w:val="22"/>
          <w:szCs w:val="22"/>
        </w:rPr>
        <w:t xml:space="preserve">, </w:t>
      </w:r>
      <w:r w:rsidRPr="00AF6E7F">
        <w:rPr>
          <w:i/>
          <w:iCs/>
          <w:color w:val="auto"/>
          <w:sz w:val="22"/>
          <w:szCs w:val="22"/>
        </w:rPr>
        <w:t>Recording Financial Information</w:t>
      </w:r>
      <w:r w:rsidRPr="00AF6E7F">
        <w:rPr>
          <w:color w:val="auto"/>
          <w:sz w:val="22"/>
          <w:szCs w:val="22"/>
        </w:rPr>
        <w:t xml:space="preserve">, and </w:t>
      </w:r>
      <w:r w:rsidRPr="00AF6E7F">
        <w:rPr>
          <w:i/>
          <w:iCs/>
          <w:color w:val="auto"/>
          <w:sz w:val="22"/>
          <w:szCs w:val="22"/>
        </w:rPr>
        <w:t xml:space="preserve">Financial Reporting and Analysis </w:t>
      </w:r>
      <w:r w:rsidRPr="00AF6E7F">
        <w:rPr>
          <w:color w:val="auto"/>
          <w:sz w:val="22"/>
          <w:szCs w:val="22"/>
        </w:rPr>
        <w:t>may change depending on the rate of V</w:t>
      </w:r>
      <w:r w:rsidR="00A91668">
        <w:rPr>
          <w:color w:val="auto"/>
          <w:sz w:val="22"/>
          <w:szCs w:val="22"/>
        </w:rPr>
        <w:t>AT which is operating in the UK</w:t>
      </w:r>
      <w:r w:rsidRPr="00AF6E7F">
        <w:rPr>
          <w:color w:val="auto"/>
          <w:sz w:val="22"/>
          <w:szCs w:val="22"/>
        </w:rPr>
        <w:t xml:space="preserve"> </w:t>
      </w:r>
    </w:p>
    <w:p w14:paraId="1C182B39" w14:textId="02BCF073" w:rsidR="001F4937" w:rsidRPr="00AF6E7F" w:rsidRDefault="001F4937" w:rsidP="00786F92">
      <w:pPr>
        <w:pStyle w:val="Default"/>
        <w:numPr>
          <w:ilvl w:val="0"/>
          <w:numId w:val="5"/>
        </w:numPr>
        <w:jc w:val="both"/>
        <w:rPr>
          <w:color w:val="auto"/>
          <w:sz w:val="22"/>
          <w:szCs w:val="22"/>
        </w:rPr>
      </w:pPr>
      <w:r w:rsidRPr="00AF6E7F">
        <w:rPr>
          <w:i/>
          <w:iCs/>
          <w:color w:val="auto"/>
          <w:sz w:val="22"/>
          <w:szCs w:val="22"/>
        </w:rPr>
        <w:t>Financial Reporting and Analysis</w:t>
      </w:r>
      <w:r w:rsidRPr="00AF6E7F">
        <w:rPr>
          <w:color w:val="auto"/>
          <w:sz w:val="22"/>
          <w:szCs w:val="22"/>
        </w:rPr>
        <w:t xml:space="preserve">, and </w:t>
      </w:r>
      <w:r w:rsidRPr="00AF6E7F">
        <w:rPr>
          <w:i/>
          <w:iCs/>
          <w:color w:val="auto"/>
          <w:sz w:val="22"/>
          <w:szCs w:val="22"/>
        </w:rPr>
        <w:t xml:space="preserve">Business Accounting </w:t>
      </w:r>
      <w:r w:rsidRPr="00AF6E7F">
        <w:rPr>
          <w:color w:val="auto"/>
          <w:sz w:val="22"/>
          <w:szCs w:val="22"/>
        </w:rPr>
        <w:t xml:space="preserve">may change depending on legislation governing the disclosure of accounting information </w:t>
      </w:r>
    </w:p>
    <w:p w14:paraId="663EE32D" w14:textId="3E8C4CCB" w:rsidR="001F4937" w:rsidRPr="00AF6E7F" w:rsidRDefault="001F4937" w:rsidP="00786F92">
      <w:pPr>
        <w:pStyle w:val="Default"/>
        <w:numPr>
          <w:ilvl w:val="0"/>
          <w:numId w:val="5"/>
        </w:numPr>
        <w:jc w:val="both"/>
        <w:rPr>
          <w:color w:val="auto"/>
          <w:sz w:val="22"/>
          <w:szCs w:val="22"/>
        </w:rPr>
      </w:pPr>
      <w:r w:rsidRPr="00AF6E7F">
        <w:rPr>
          <w:i/>
          <w:iCs/>
          <w:color w:val="auto"/>
          <w:sz w:val="22"/>
          <w:szCs w:val="22"/>
        </w:rPr>
        <w:t xml:space="preserve">Income Tax </w:t>
      </w:r>
      <w:r w:rsidRPr="00AF6E7F">
        <w:rPr>
          <w:color w:val="auto"/>
          <w:sz w:val="22"/>
          <w:szCs w:val="22"/>
        </w:rPr>
        <w:t>will change on an annual basis, b</w:t>
      </w:r>
      <w:r w:rsidR="00A91668">
        <w:rPr>
          <w:color w:val="auto"/>
          <w:sz w:val="22"/>
          <w:szCs w:val="22"/>
        </w:rPr>
        <w:t>ut the level of change</w:t>
      </w:r>
      <w:r w:rsidRPr="00AF6E7F">
        <w:rPr>
          <w:color w:val="auto"/>
          <w:sz w:val="22"/>
          <w:szCs w:val="22"/>
        </w:rPr>
        <w:t xml:space="preserve"> cannot be predicted. Some years the changes may be minor and other years there m</w:t>
      </w:r>
      <w:r w:rsidR="00A91668">
        <w:rPr>
          <w:color w:val="auto"/>
          <w:sz w:val="22"/>
          <w:szCs w:val="22"/>
        </w:rPr>
        <w:t>ay be widespread change to the t</w:t>
      </w:r>
      <w:r w:rsidRPr="00AF6E7F">
        <w:rPr>
          <w:color w:val="auto"/>
          <w:sz w:val="22"/>
          <w:szCs w:val="22"/>
        </w:rPr>
        <w:t xml:space="preserve">axation legislation </w:t>
      </w:r>
    </w:p>
    <w:p w14:paraId="159E1B67" w14:textId="7466D765" w:rsidR="00154B2A" w:rsidRPr="00AF6E7F" w:rsidRDefault="001F4937" w:rsidP="00786F92">
      <w:pPr>
        <w:pStyle w:val="Default"/>
        <w:numPr>
          <w:ilvl w:val="0"/>
          <w:numId w:val="5"/>
        </w:numPr>
        <w:jc w:val="both"/>
        <w:rPr>
          <w:color w:val="auto"/>
          <w:sz w:val="22"/>
          <w:szCs w:val="22"/>
        </w:rPr>
      </w:pPr>
      <w:r w:rsidRPr="00AF6E7F">
        <w:rPr>
          <w:color w:val="auto"/>
          <w:sz w:val="22"/>
          <w:szCs w:val="22"/>
        </w:rPr>
        <w:t xml:space="preserve">In addition, HND Graded Units which </w:t>
      </w:r>
      <w:r w:rsidR="00814639">
        <w:rPr>
          <w:color w:val="auto"/>
          <w:sz w:val="22"/>
          <w:szCs w:val="22"/>
        </w:rPr>
        <w:t>include</w:t>
      </w:r>
      <w:r w:rsidR="009C7756">
        <w:rPr>
          <w:color w:val="auto"/>
          <w:sz w:val="22"/>
          <w:szCs w:val="22"/>
        </w:rPr>
        <w:t xml:space="preserve"> content from</w:t>
      </w:r>
      <w:r w:rsidRPr="00AF6E7F">
        <w:rPr>
          <w:color w:val="auto"/>
          <w:sz w:val="22"/>
          <w:szCs w:val="22"/>
        </w:rPr>
        <w:t xml:space="preserve"> any of the above </w:t>
      </w:r>
      <w:r w:rsidR="00786F92" w:rsidRPr="00AF6E7F">
        <w:rPr>
          <w:color w:val="auto"/>
          <w:sz w:val="22"/>
          <w:szCs w:val="22"/>
        </w:rPr>
        <w:t>Units</w:t>
      </w:r>
      <w:r w:rsidRPr="00AF6E7F">
        <w:rPr>
          <w:color w:val="auto"/>
          <w:sz w:val="22"/>
          <w:szCs w:val="22"/>
        </w:rPr>
        <w:t xml:space="preserve"> must be reviewed on a regular basis to ensure that any changes to the contributing Units are incorporated </w:t>
      </w:r>
      <w:r w:rsidR="00A91668">
        <w:rPr>
          <w:color w:val="auto"/>
          <w:sz w:val="22"/>
          <w:szCs w:val="22"/>
        </w:rPr>
        <w:t>into the Graded Unit assessment</w:t>
      </w:r>
    </w:p>
    <w:p w14:paraId="6D8E0107" w14:textId="61A89242" w:rsidR="001F4937" w:rsidRPr="00AF6E7F" w:rsidRDefault="001F4937" w:rsidP="00154B2A">
      <w:pPr>
        <w:pStyle w:val="Default"/>
        <w:ind w:left="720"/>
        <w:rPr>
          <w:color w:val="auto"/>
          <w:sz w:val="22"/>
          <w:szCs w:val="22"/>
        </w:rPr>
      </w:pPr>
    </w:p>
    <w:p w14:paraId="7BCA55BC" w14:textId="519B0FAC" w:rsidR="001F4937" w:rsidRPr="00AF6E7F" w:rsidRDefault="008C61B4" w:rsidP="00786F92">
      <w:pPr>
        <w:pStyle w:val="Default"/>
        <w:jc w:val="both"/>
        <w:rPr>
          <w:color w:val="auto"/>
          <w:sz w:val="22"/>
          <w:szCs w:val="22"/>
        </w:rPr>
      </w:pPr>
      <w:r>
        <w:rPr>
          <w:color w:val="auto"/>
          <w:sz w:val="22"/>
          <w:szCs w:val="22"/>
        </w:rPr>
        <w:t>Content included in the Unit</w:t>
      </w:r>
      <w:r w:rsidR="001F4937" w:rsidRPr="00AF6E7F">
        <w:rPr>
          <w:color w:val="auto"/>
          <w:sz w:val="22"/>
          <w:szCs w:val="22"/>
        </w:rPr>
        <w:t xml:space="preserve"> </w:t>
      </w:r>
      <w:r w:rsidR="001F4937" w:rsidRPr="00AF6E7F">
        <w:rPr>
          <w:i/>
          <w:iCs/>
          <w:color w:val="auto"/>
          <w:sz w:val="22"/>
          <w:szCs w:val="22"/>
        </w:rPr>
        <w:t xml:space="preserve">Income Tax (F86X 35) </w:t>
      </w:r>
      <w:r w:rsidR="001F4937" w:rsidRPr="00AF6E7F">
        <w:rPr>
          <w:color w:val="auto"/>
          <w:sz w:val="22"/>
          <w:szCs w:val="22"/>
        </w:rPr>
        <w:t>is gov</w:t>
      </w:r>
      <w:r w:rsidR="00A91668">
        <w:rPr>
          <w:color w:val="auto"/>
          <w:sz w:val="22"/>
          <w:szCs w:val="22"/>
        </w:rPr>
        <w:t>erned by annual changes to the t</w:t>
      </w:r>
      <w:r w:rsidR="001F4937" w:rsidRPr="00AF6E7F">
        <w:rPr>
          <w:color w:val="auto"/>
          <w:sz w:val="22"/>
          <w:szCs w:val="22"/>
        </w:rPr>
        <w:t xml:space="preserve">axation regulations in the UK based on the annual Finance Acts. As a </w:t>
      </w:r>
      <w:proofErr w:type="gramStart"/>
      <w:r w:rsidR="001F4937" w:rsidRPr="00AF6E7F">
        <w:rPr>
          <w:color w:val="auto"/>
          <w:sz w:val="22"/>
          <w:szCs w:val="22"/>
        </w:rPr>
        <w:t>result</w:t>
      </w:r>
      <w:proofErr w:type="gramEnd"/>
      <w:r w:rsidR="001F4937" w:rsidRPr="00AF6E7F">
        <w:rPr>
          <w:color w:val="auto"/>
          <w:sz w:val="22"/>
          <w:szCs w:val="22"/>
        </w:rPr>
        <w:t xml:space="preserve"> the materials which support </w:t>
      </w:r>
      <w:r>
        <w:rPr>
          <w:color w:val="auto"/>
          <w:sz w:val="22"/>
          <w:szCs w:val="22"/>
        </w:rPr>
        <w:t>this</w:t>
      </w:r>
      <w:r w:rsidR="001F4937" w:rsidRPr="00AF6E7F">
        <w:rPr>
          <w:color w:val="auto"/>
          <w:sz w:val="22"/>
          <w:szCs w:val="22"/>
        </w:rPr>
        <w:t xml:space="preserve"> Unit must be updated </w:t>
      </w:r>
      <w:r w:rsidR="001F4937" w:rsidRPr="00AF6E7F">
        <w:rPr>
          <w:b/>
          <w:bCs/>
          <w:color w:val="auto"/>
          <w:sz w:val="22"/>
          <w:szCs w:val="22"/>
        </w:rPr>
        <w:t xml:space="preserve">every </w:t>
      </w:r>
      <w:r w:rsidR="001F4937" w:rsidRPr="00AF6E7F">
        <w:rPr>
          <w:color w:val="auto"/>
          <w:sz w:val="22"/>
          <w:szCs w:val="22"/>
        </w:rPr>
        <w:t xml:space="preserve">academic session. </w:t>
      </w:r>
    </w:p>
    <w:p w14:paraId="1C481897" w14:textId="77777777" w:rsidR="0075438D" w:rsidRPr="00AF6E7F" w:rsidRDefault="0075438D" w:rsidP="001F4937">
      <w:pPr>
        <w:pStyle w:val="Default"/>
        <w:rPr>
          <w:color w:val="auto"/>
          <w:sz w:val="22"/>
          <w:szCs w:val="22"/>
        </w:rPr>
      </w:pPr>
    </w:p>
    <w:p w14:paraId="14E4261C" w14:textId="77777777" w:rsidR="00786F92" w:rsidRPr="00AF6E7F" w:rsidRDefault="00786F92" w:rsidP="001F4937">
      <w:pPr>
        <w:pStyle w:val="Default"/>
        <w:rPr>
          <w:b/>
          <w:bCs/>
          <w:color w:val="auto"/>
          <w:sz w:val="22"/>
          <w:szCs w:val="22"/>
        </w:rPr>
      </w:pPr>
    </w:p>
    <w:p w14:paraId="0F96BE11" w14:textId="77777777" w:rsidR="001F4937" w:rsidRPr="00AF6E7F" w:rsidRDefault="001F4937" w:rsidP="001F4937">
      <w:pPr>
        <w:pStyle w:val="Default"/>
        <w:rPr>
          <w:b/>
          <w:bCs/>
          <w:color w:val="auto"/>
          <w:sz w:val="22"/>
          <w:szCs w:val="22"/>
        </w:rPr>
      </w:pPr>
      <w:r w:rsidRPr="00AF6E7F">
        <w:rPr>
          <w:b/>
          <w:bCs/>
          <w:color w:val="auto"/>
          <w:sz w:val="22"/>
          <w:szCs w:val="22"/>
        </w:rPr>
        <w:t xml:space="preserve">Current Practice </w:t>
      </w:r>
    </w:p>
    <w:p w14:paraId="25064701" w14:textId="77777777" w:rsidR="00CE2E63" w:rsidRPr="00AF6E7F" w:rsidRDefault="00CE2E63" w:rsidP="001F4937">
      <w:pPr>
        <w:pStyle w:val="Default"/>
        <w:rPr>
          <w:color w:val="auto"/>
          <w:sz w:val="22"/>
          <w:szCs w:val="22"/>
        </w:rPr>
      </w:pPr>
    </w:p>
    <w:p w14:paraId="7CDEA702" w14:textId="7F3A8CDF" w:rsidR="001F4937" w:rsidRPr="00AF6E7F" w:rsidRDefault="0052231D" w:rsidP="00786F92">
      <w:pPr>
        <w:pStyle w:val="Default"/>
        <w:jc w:val="both"/>
        <w:rPr>
          <w:color w:val="auto"/>
          <w:sz w:val="22"/>
          <w:szCs w:val="22"/>
        </w:rPr>
      </w:pPr>
      <w:r>
        <w:rPr>
          <w:color w:val="auto"/>
          <w:sz w:val="22"/>
          <w:szCs w:val="22"/>
        </w:rPr>
        <w:t>C</w:t>
      </w:r>
      <w:r w:rsidR="001F4937" w:rsidRPr="00AF6E7F">
        <w:rPr>
          <w:color w:val="auto"/>
          <w:sz w:val="22"/>
          <w:szCs w:val="22"/>
        </w:rPr>
        <w:t xml:space="preserve">entres generally update the materials which support the Units which have a taxation element each year. This involves updating all materials which are used in the delivery and assessment of the Unit(s) in question including teaching and learning materials, practice exercises, locally devised instruments of assessment and, most importantly, SQA produced Assessment </w:t>
      </w:r>
      <w:r w:rsidR="00786F92" w:rsidRPr="00AF6E7F">
        <w:rPr>
          <w:color w:val="auto"/>
          <w:sz w:val="22"/>
          <w:szCs w:val="22"/>
        </w:rPr>
        <w:t>Support Packs</w:t>
      </w:r>
      <w:r w:rsidR="00187AFE" w:rsidRPr="00AF6E7F">
        <w:rPr>
          <w:color w:val="auto"/>
          <w:sz w:val="22"/>
          <w:szCs w:val="22"/>
        </w:rPr>
        <w:t xml:space="preserve"> </w:t>
      </w:r>
      <w:r w:rsidR="00AF6E7F" w:rsidRPr="00AF6E7F">
        <w:rPr>
          <w:color w:val="auto"/>
          <w:sz w:val="22"/>
          <w:szCs w:val="22"/>
        </w:rPr>
        <w:t>(ASPs).</w:t>
      </w:r>
      <w:r w:rsidR="001F4937" w:rsidRPr="00AF6E7F">
        <w:rPr>
          <w:color w:val="auto"/>
          <w:sz w:val="22"/>
          <w:szCs w:val="22"/>
        </w:rPr>
        <w:t xml:space="preserve"> </w:t>
      </w:r>
    </w:p>
    <w:p w14:paraId="04B9FA08" w14:textId="77777777" w:rsidR="00786F92" w:rsidRPr="00AF6E7F" w:rsidRDefault="00786F92" w:rsidP="00786F92">
      <w:pPr>
        <w:pStyle w:val="Default"/>
        <w:jc w:val="both"/>
        <w:rPr>
          <w:color w:val="auto"/>
          <w:sz w:val="22"/>
          <w:szCs w:val="22"/>
        </w:rPr>
      </w:pPr>
    </w:p>
    <w:p w14:paraId="6DB9B396" w14:textId="2F1632E5" w:rsidR="00211736" w:rsidRPr="00AF6E7F" w:rsidRDefault="001F4937" w:rsidP="00CE2E63">
      <w:pPr>
        <w:pStyle w:val="Default"/>
        <w:jc w:val="both"/>
        <w:rPr>
          <w:color w:val="auto"/>
          <w:sz w:val="22"/>
          <w:szCs w:val="22"/>
        </w:rPr>
      </w:pPr>
      <w:r w:rsidRPr="00AF6E7F">
        <w:rPr>
          <w:color w:val="auto"/>
          <w:sz w:val="22"/>
          <w:szCs w:val="22"/>
        </w:rPr>
        <w:t xml:space="preserve">It is good practice for centres to revise instruments of assessment on an annual basis in line with current legislation. In some </w:t>
      </w:r>
      <w:proofErr w:type="gramStart"/>
      <w:r w:rsidRPr="00AF6E7F">
        <w:rPr>
          <w:color w:val="auto"/>
          <w:sz w:val="22"/>
          <w:szCs w:val="22"/>
        </w:rPr>
        <w:t>instances</w:t>
      </w:r>
      <w:proofErr w:type="gramEnd"/>
      <w:r w:rsidRPr="00AF6E7F">
        <w:rPr>
          <w:color w:val="auto"/>
          <w:sz w:val="22"/>
          <w:szCs w:val="22"/>
        </w:rPr>
        <w:t xml:space="preserve"> the changes in legislation will have a knock on effect on other Units and it is important that centre staff consider this when updating Units.</w:t>
      </w:r>
      <w:r w:rsidR="003F562C">
        <w:rPr>
          <w:color w:val="auto"/>
          <w:sz w:val="22"/>
          <w:szCs w:val="22"/>
        </w:rPr>
        <w:t xml:space="preserve"> </w:t>
      </w:r>
      <w:r w:rsidRPr="00AF6E7F">
        <w:rPr>
          <w:color w:val="auto"/>
          <w:sz w:val="22"/>
          <w:szCs w:val="22"/>
        </w:rPr>
        <w:t xml:space="preserve"> Revised instruments of assessment should be subject to a centre’s Internal Verification process and </w:t>
      </w:r>
      <w:r w:rsidR="003F562C">
        <w:rPr>
          <w:color w:val="auto"/>
          <w:sz w:val="22"/>
          <w:szCs w:val="22"/>
        </w:rPr>
        <w:t>can also be</w:t>
      </w:r>
      <w:r w:rsidRPr="00AF6E7F">
        <w:rPr>
          <w:color w:val="auto"/>
          <w:sz w:val="22"/>
          <w:szCs w:val="22"/>
        </w:rPr>
        <w:t xml:space="preserve"> submitted to SQA for Prior Verification. </w:t>
      </w:r>
      <w:r w:rsidR="00812950">
        <w:rPr>
          <w:color w:val="auto"/>
          <w:sz w:val="22"/>
          <w:szCs w:val="22"/>
        </w:rPr>
        <w:t xml:space="preserve"> </w:t>
      </w:r>
      <w:r w:rsidRPr="00AF6E7F">
        <w:rPr>
          <w:color w:val="auto"/>
          <w:sz w:val="22"/>
          <w:szCs w:val="22"/>
        </w:rPr>
        <w:t xml:space="preserve">Prior Verification is carried out by the </w:t>
      </w:r>
      <w:r w:rsidR="00603E3E">
        <w:rPr>
          <w:color w:val="auto"/>
          <w:sz w:val="22"/>
          <w:szCs w:val="22"/>
        </w:rPr>
        <w:t xml:space="preserve">SQA </w:t>
      </w:r>
      <w:r w:rsidRPr="00AF6E7F">
        <w:rPr>
          <w:color w:val="auto"/>
          <w:sz w:val="22"/>
          <w:szCs w:val="22"/>
        </w:rPr>
        <w:t xml:space="preserve">External Verification (EV) team responsible for </w:t>
      </w:r>
      <w:r w:rsidR="0098041A">
        <w:rPr>
          <w:color w:val="auto"/>
          <w:sz w:val="22"/>
          <w:szCs w:val="22"/>
        </w:rPr>
        <w:t xml:space="preserve">the </w:t>
      </w:r>
      <w:r w:rsidRPr="00AF6E7F">
        <w:rPr>
          <w:color w:val="auto"/>
          <w:sz w:val="22"/>
          <w:szCs w:val="22"/>
        </w:rPr>
        <w:t xml:space="preserve">subject area in question. </w:t>
      </w:r>
    </w:p>
    <w:p w14:paraId="082B618E" w14:textId="77777777" w:rsidR="008C48BB" w:rsidRPr="00AF6E7F" w:rsidRDefault="008C48BB">
      <w:pPr>
        <w:rPr>
          <w:sz w:val="22"/>
          <w:szCs w:val="22"/>
        </w:rPr>
      </w:pPr>
    </w:p>
    <w:p w14:paraId="034A32F8" w14:textId="515BE371" w:rsidR="00814639" w:rsidRDefault="00814639">
      <w:pPr>
        <w:rPr>
          <w:sz w:val="22"/>
          <w:szCs w:val="22"/>
        </w:rPr>
      </w:pPr>
      <w:r>
        <w:rPr>
          <w:sz w:val="22"/>
          <w:szCs w:val="22"/>
        </w:rPr>
        <w:br w:type="page"/>
      </w:r>
    </w:p>
    <w:p w14:paraId="4D3145BC" w14:textId="77777777" w:rsidR="00F40A15" w:rsidRPr="00AF6E7F" w:rsidRDefault="00F40A15" w:rsidP="00211736">
      <w:pPr>
        <w:pStyle w:val="Default"/>
        <w:jc w:val="both"/>
        <w:rPr>
          <w:color w:val="auto"/>
          <w:sz w:val="22"/>
          <w:szCs w:val="22"/>
        </w:rPr>
      </w:pPr>
    </w:p>
    <w:p w14:paraId="50921847" w14:textId="73AED4B6" w:rsidR="00F40A15" w:rsidRDefault="00F40A15" w:rsidP="00211736">
      <w:pPr>
        <w:pStyle w:val="Default"/>
        <w:jc w:val="both"/>
        <w:rPr>
          <w:color w:val="auto"/>
          <w:sz w:val="22"/>
          <w:szCs w:val="22"/>
        </w:rPr>
      </w:pPr>
      <w:r w:rsidRPr="00AF6E7F">
        <w:rPr>
          <w:color w:val="auto"/>
          <w:sz w:val="22"/>
          <w:szCs w:val="22"/>
        </w:rPr>
        <w:t>The following timetable provides guidance to centres on the academic session and relevant tax year for updating materials.  This relates to instruments of assessment (including Assessment Support Packs) and any teaching and learning materials.</w:t>
      </w:r>
    </w:p>
    <w:p w14:paraId="1523406F" w14:textId="77777777" w:rsidR="00814639" w:rsidRPr="00AF6E7F" w:rsidRDefault="00814639" w:rsidP="00211736">
      <w:pPr>
        <w:pStyle w:val="Default"/>
        <w:jc w:val="both"/>
        <w:rPr>
          <w:color w:val="auto"/>
          <w:sz w:val="22"/>
          <w:szCs w:val="22"/>
        </w:rPr>
      </w:pPr>
    </w:p>
    <w:p w14:paraId="0FBA40E0" w14:textId="77777777" w:rsidR="00F40A15" w:rsidRPr="00AF6E7F" w:rsidRDefault="00F40A15" w:rsidP="00211736">
      <w:pPr>
        <w:pStyle w:val="Default"/>
        <w:jc w:val="both"/>
        <w:rPr>
          <w:color w:val="auto"/>
          <w:sz w:val="22"/>
          <w:szCs w:val="22"/>
        </w:rPr>
      </w:pPr>
    </w:p>
    <w:tbl>
      <w:tblPr>
        <w:tblStyle w:val="TableGrid"/>
        <w:tblW w:w="0" w:type="auto"/>
        <w:jc w:val="center"/>
        <w:tblLook w:val="04A0" w:firstRow="1" w:lastRow="0" w:firstColumn="1" w:lastColumn="0" w:noHBand="0" w:noVBand="1"/>
      </w:tblPr>
      <w:tblGrid>
        <w:gridCol w:w="3085"/>
        <w:gridCol w:w="2410"/>
      </w:tblGrid>
      <w:tr w:rsidR="006E6371" w:rsidRPr="00AF6E7F" w14:paraId="7563BAB2" w14:textId="77777777" w:rsidTr="00016BA9">
        <w:trPr>
          <w:jc w:val="center"/>
        </w:trPr>
        <w:tc>
          <w:tcPr>
            <w:tcW w:w="3085" w:type="dxa"/>
            <w:tcMar>
              <w:top w:w="142" w:type="dxa"/>
              <w:bottom w:w="142" w:type="dxa"/>
            </w:tcMar>
          </w:tcPr>
          <w:p w14:paraId="162E323A" w14:textId="77777777" w:rsidR="006E6371" w:rsidRPr="00AF6E7F" w:rsidRDefault="006E6371" w:rsidP="00016BA9">
            <w:pPr>
              <w:pStyle w:val="Default"/>
              <w:jc w:val="center"/>
              <w:rPr>
                <w:color w:val="auto"/>
                <w:sz w:val="22"/>
                <w:szCs w:val="22"/>
              </w:rPr>
            </w:pPr>
            <w:r w:rsidRPr="00AF6E7F">
              <w:rPr>
                <w:b/>
                <w:bCs/>
                <w:color w:val="auto"/>
                <w:sz w:val="22"/>
                <w:szCs w:val="22"/>
              </w:rPr>
              <w:t>Academic Session</w:t>
            </w:r>
          </w:p>
        </w:tc>
        <w:tc>
          <w:tcPr>
            <w:tcW w:w="2410" w:type="dxa"/>
            <w:tcMar>
              <w:top w:w="142" w:type="dxa"/>
              <w:bottom w:w="142" w:type="dxa"/>
            </w:tcMar>
          </w:tcPr>
          <w:p w14:paraId="0549A5A1" w14:textId="77777777" w:rsidR="006E6371" w:rsidRPr="00AF6E7F" w:rsidRDefault="006E6371" w:rsidP="00016BA9">
            <w:pPr>
              <w:pStyle w:val="Default"/>
              <w:jc w:val="center"/>
              <w:rPr>
                <w:color w:val="auto"/>
                <w:sz w:val="22"/>
                <w:szCs w:val="22"/>
              </w:rPr>
            </w:pPr>
            <w:r w:rsidRPr="00AF6E7F">
              <w:rPr>
                <w:rFonts w:eastAsia="Arial Unicode MS"/>
                <w:b/>
                <w:color w:val="auto"/>
                <w:sz w:val="22"/>
                <w:szCs w:val="22"/>
              </w:rPr>
              <w:t>UK Finance Act</w:t>
            </w:r>
          </w:p>
        </w:tc>
      </w:tr>
      <w:tr w:rsidR="006E6371" w:rsidRPr="00AF6E7F" w14:paraId="3AC20084" w14:textId="77777777" w:rsidTr="00016BA9">
        <w:trPr>
          <w:jc w:val="center"/>
        </w:trPr>
        <w:tc>
          <w:tcPr>
            <w:tcW w:w="3085" w:type="dxa"/>
            <w:tcMar>
              <w:top w:w="142" w:type="dxa"/>
              <w:bottom w:w="142" w:type="dxa"/>
            </w:tcMar>
          </w:tcPr>
          <w:p w14:paraId="0DFE3B20"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2017-2018</w:t>
            </w:r>
          </w:p>
        </w:tc>
        <w:tc>
          <w:tcPr>
            <w:tcW w:w="2410" w:type="dxa"/>
            <w:tcMar>
              <w:top w:w="142" w:type="dxa"/>
              <w:bottom w:w="142" w:type="dxa"/>
            </w:tcMar>
          </w:tcPr>
          <w:p w14:paraId="6D2EE2DC" w14:textId="77777777" w:rsidR="006E6371" w:rsidRPr="00AF6E7F" w:rsidRDefault="006E6371" w:rsidP="00016BA9">
            <w:pPr>
              <w:pStyle w:val="Default"/>
              <w:jc w:val="center"/>
              <w:rPr>
                <w:color w:val="auto"/>
                <w:sz w:val="22"/>
                <w:szCs w:val="22"/>
              </w:rPr>
            </w:pPr>
            <w:r w:rsidRPr="00AF6E7F">
              <w:rPr>
                <w:color w:val="auto"/>
                <w:sz w:val="22"/>
                <w:szCs w:val="22"/>
              </w:rPr>
              <w:t>2017</w:t>
            </w:r>
          </w:p>
        </w:tc>
      </w:tr>
      <w:tr w:rsidR="006E6371" w:rsidRPr="00AF6E7F" w14:paraId="0372F694" w14:textId="77777777" w:rsidTr="00016BA9">
        <w:trPr>
          <w:jc w:val="center"/>
        </w:trPr>
        <w:tc>
          <w:tcPr>
            <w:tcW w:w="3085" w:type="dxa"/>
            <w:tcMar>
              <w:top w:w="142" w:type="dxa"/>
              <w:bottom w:w="142" w:type="dxa"/>
            </w:tcMar>
          </w:tcPr>
          <w:p w14:paraId="3F9AA5B0"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2018-2019</w:t>
            </w:r>
          </w:p>
        </w:tc>
        <w:tc>
          <w:tcPr>
            <w:tcW w:w="2410" w:type="dxa"/>
            <w:tcMar>
              <w:top w:w="142" w:type="dxa"/>
              <w:bottom w:w="142" w:type="dxa"/>
            </w:tcMar>
          </w:tcPr>
          <w:p w14:paraId="2AD333B2"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2018</w:t>
            </w:r>
          </w:p>
        </w:tc>
      </w:tr>
      <w:tr w:rsidR="006E6371" w:rsidRPr="00AF6E7F" w14:paraId="06146927" w14:textId="77777777" w:rsidTr="00016BA9">
        <w:trPr>
          <w:jc w:val="center"/>
        </w:trPr>
        <w:tc>
          <w:tcPr>
            <w:tcW w:w="3085" w:type="dxa"/>
            <w:tcMar>
              <w:top w:w="142" w:type="dxa"/>
              <w:bottom w:w="142" w:type="dxa"/>
            </w:tcMar>
          </w:tcPr>
          <w:p w14:paraId="6C6A471B"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2019-2020</w:t>
            </w:r>
          </w:p>
        </w:tc>
        <w:tc>
          <w:tcPr>
            <w:tcW w:w="2410" w:type="dxa"/>
            <w:tcMar>
              <w:top w:w="142" w:type="dxa"/>
              <w:bottom w:w="142" w:type="dxa"/>
            </w:tcMar>
          </w:tcPr>
          <w:p w14:paraId="4436D19E"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2019</w:t>
            </w:r>
          </w:p>
        </w:tc>
      </w:tr>
      <w:tr w:rsidR="006E6371" w:rsidRPr="00AF6E7F" w14:paraId="318BCAC9" w14:textId="77777777" w:rsidTr="00016BA9">
        <w:trPr>
          <w:jc w:val="center"/>
        </w:trPr>
        <w:tc>
          <w:tcPr>
            <w:tcW w:w="3085" w:type="dxa"/>
            <w:tcMar>
              <w:top w:w="142" w:type="dxa"/>
              <w:bottom w:w="142" w:type="dxa"/>
            </w:tcMar>
          </w:tcPr>
          <w:p w14:paraId="5812ACF9"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2020-2021</w:t>
            </w:r>
          </w:p>
        </w:tc>
        <w:tc>
          <w:tcPr>
            <w:tcW w:w="2410" w:type="dxa"/>
            <w:tcMar>
              <w:top w:w="142" w:type="dxa"/>
              <w:bottom w:w="142" w:type="dxa"/>
            </w:tcMar>
          </w:tcPr>
          <w:p w14:paraId="5F82A1F3"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2020</w:t>
            </w:r>
          </w:p>
        </w:tc>
      </w:tr>
      <w:tr w:rsidR="006E6371" w:rsidRPr="00AF6E7F" w14:paraId="39F5DB58" w14:textId="77777777" w:rsidTr="00382992">
        <w:trPr>
          <w:jc w:val="center"/>
        </w:trPr>
        <w:tc>
          <w:tcPr>
            <w:tcW w:w="3085" w:type="dxa"/>
            <w:tcBorders>
              <w:bottom w:val="single" w:sz="4" w:space="0" w:color="auto"/>
            </w:tcBorders>
            <w:tcMar>
              <w:top w:w="142" w:type="dxa"/>
              <w:bottom w:w="142" w:type="dxa"/>
            </w:tcMar>
          </w:tcPr>
          <w:p w14:paraId="5AEF3CE3"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2021-2022</w:t>
            </w:r>
          </w:p>
        </w:tc>
        <w:tc>
          <w:tcPr>
            <w:tcW w:w="2410" w:type="dxa"/>
            <w:tcMar>
              <w:top w:w="142" w:type="dxa"/>
              <w:bottom w:w="142" w:type="dxa"/>
            </w:tcMar>
          </w:tcPr>
          <w:p w14:paraId="26FFAF53" w14:textId="77777777" w:rsidR="006E6371" w:rsidRPr="00AF6E7F" w:rsidRDefault="006E6371" w:rsidP="00016BA9">
            <w:pPr>
              <w:pStyle w:val="Default"/>
              <w:jc w:val="center"/>
              <w:rPr>
                <w:color w:val="auto"/>
                <w:sz w:val="22"/>
                <w:szCs w:val="22"/>
              </w:rPr>
            </w:pPr>
            <w:r w:rsidRPr="00AF6E7F">
              <w:rPr>
                <w:rFonts w:eastAsia="Arial Unicode MS"/>
                <w:color w:val="auto"/>
                <w:sz w:val="22"/>
                <w:szCs w:val="22"/>
              </w:rPr>
              <w:t>2021</w:t>
            </w:r>
          </w:p>
        </w:tc>
      </w:tr>
      <w:tr w:rsidR="00FF39C5" w:rsidRPr="00AF6E7F" w14:paraId="28327D65" w14:textId="77777777" w:rsidTr="00382992">
        <w:trPr>
          <w:jc w:val="center"/>
        </w:trPr>
        <w:tc>
          <w:tcPr>
            <w:tcW w:w="3085" w:type="dxa"/>
            <w:tcBorders>
              <w:bottom w:val="nil"/>
            </w:tcBorders>
            <w:tcMar>
              <w:top w:w="142" w:type="dxa"/>
              <w:bottom w:w="142" w:type="dxa"/>
            </w:tcMar>
          </w:tcPr>
          <w:p w14:paraId="1940A613" w14:textId="1D3A883B" w:rsidR="00FF39C5" w:rsidRPr="00FF39C5" w:rsidRDefault="00FF39C5" w:rsidP="00016BA9">
            <w:pPr>
              <w:pStyle w:val="Default"/>
              <w:jc w:val="center"/>
              <w:rPr>
                <w:rFonts w:eastAsia="Arial Unicode MS"/>
                <w:color w:val="auto"/>
                <w:sz w:val="22"/>
                <w:szCs w:val="22"/>
                <w:highlight w:val="yellow"/>
              </w:rPr>
            </w:pPr>
            <w:r w:rsidRPr="00FF39C5">
              <w:rPr>
                <w:rFonts w:eastAsia="Arial Unicode MS"/>
                <w:color w:val="auto"/>
                <w:sz w:val="22"/>
                <w:szCs w:val="22"/>
                <w:highlight w:val="yellow"/>
              </w:rPr>
              <w:t>2022-2023</w:t>
            </w:r>
          </w:p>
        </w:tc>
        <w:tc>
          <w:tcPr>
            <w:tcW w:w="2410" w:type="dxa"/>
            <w:tcMar>
              <w:top w:w="142" w:type="dxa"/>
              <w:bottom w:w="142" w:type="dxa"/>
            </w:tcMar>
          </w:tcPr>
          <w:p w14:paraId="602FE35E" w14:textId="3CC5AC5D" w:rsidR="00FF39C5" w:rsidRPr="00FF39C5" w:rsidRDefault="00FF39C5" w:rsidP="00016BA9">
            <w:pPr>
              <w:pStyle w:val="Default"/>
              <w:jc w:val="center"/>
              <w:rPr>
                <w:rFonts w:eastAsia="Arial Unicode MS"/>
                <w:color w:val="auto"/>
                <w:sz w:val="22"/>
                <w:szCs w:val="22"/>
                <w:highlight w:val="yellow"/>
              </w:rPr>
            </w:pPr>
            <w:r w:rsidRPr="00FF39C5">
              <w:rPr>
                <w:rFonts w:eastAsia="Arial Unicode MS"/>
                <w:color w:val="auto"/>
                <w:sz w:val="22"/>
                <w:szCs w:val="22"/>
                <w:highlight w:val="yellow"/>
              </w:rPr>
              <w:t>2022</w:t>
            </w:r>
          </w:p>
        </w:tc>
      </w:tr>
    </w:tbl>
    <w:p w14:paraId="77579D20" w14:textId="77777777" w:rsidR="00F40A15" w:rsidRPr="00AF6E7F" w:rsidRDefault="00F40A15" w:rsidP="00211736">
      <w:pPr>
        <w:pStyle w:val="Default"/>
        <w:jc w:val="both"/>
        <w:rPr>
          <w:color w:val="auto"/>
          <w:sz w:val="22"/>
          <w:szCs w:val="22"/>
        </w:rPr>
      </w:pPr>
    </w:p>
    <w:p w14:paraId="060CBDCA" w14:textId="77777777" w:rsidR="000305BC" w:rsidRPr="00AF6E7F" w:rsidRDefault="000305BC" w:rsidP="006E6371"/>
    <w:sectPr w:rsidR="000305BC" w:rsidRPr="00AF6E7F" w:rsidSect="00A55A7A">
      <w:headerReference w:type="even" r:id="rId8"/>
      <w:headerReference w:type="default" r:id="rId9"/>
      <w:footerReference w:type="default" r:id="rId10"/>
      <w:headerReference w:type="first" r:id="rId11"/>
      <w:pgSz w:w="11906" w:h="16838"/>
      <w:pgMar w:top="1247"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F40A" w14:textId="77777777" w:rsidR="00B52FC8" w:rsidRDefault="00B52FC8" w:rsidP="001F4937">
      <w:r>
        <w:separator/>
      </w:r>
    </w:p>
  </w:endnote>
  <w:endnote w:type="continuationSeparator" w:id="0">
    <w:p w14:paraId="194B4A6A" w14:textId="77777777" w:rsidR="00B52FC8" w:rsidRDefault="00B52FC8" w:rsidP="001F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89074"/>
      <w:docPartObj>
        <w:docPartGallery w:val="Page Numbers (Bottom of Page)"/>
        <w:docPartUnique/>
      </w:docPartObj>
    </w:sdtPr>
    <w:sdtEndPr>
      <w:rPr>
        <w:noProof/>
      </w:rPr>
    </w:sdtEndPr>
    <w:sdtContent>
      <w:p w14:paraId="3E780CC3" w14:textId="703BFD89" w:rsidR="00BE69A7" w:rsidRDefault="00BE69A7">
        <w:pPr>
          <w:pStyle w:val="Footer"/>
          <w:jc w:val="right"/>
        </w:pPr>
        <w:r>
          <w:fldChar w:fldCharType="begin"/>
        </w:r>
        <w:r>
          <w:instrText xml:space="preserve"> PAGE   \* MERGEFORMAT </w:instrText>
        </w:r>
        <w:r>
          <w:fldChar w:fldCharType="separate"/>
        </w:r>
        <w:r w:rsidR="00A91668">
          <w:rPr>
            <w:noProof/>
          </w:rPr>
          <w:t>2</w:t>
        </w:r>
        <w:r>
          <w:rPr>
            <w:noProof/>
          </w:rPr>
          <w:fldChar w:fldCharType="end"/>
        </w:r>
      </w:p>
    </w:sdtContent>
  </w:sdt>
  <w:p w14:paraId="7F4C9115" w14:textId="77777777" w:rsidR="001F4937" w:rsidRDefault="001F4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945A" w14:textId="77777777" w:rsidR="00B52FC8" w:rsidRDefault="00B52FC8" w:rsidP="001F4937">
      <w:r>
        <w:separator/>
      </w:r>
    </w:p>
  </w:footnote>
  <w:footnote w:type="continuationSeparator" w:id="0">
    <w:p w14:paraId="42EE83F1" w14:textId="77777777" w:rsidR="00B52FC8" w:rsidRDefault="00B52FC8" w:rsidP="001F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A6BF" w14:textId="77777777" w:rsidR="001F4937" w:rsidRDefault="00C235EA">
    <w:pPr>
      <w:pStyle w:val="Header"/>
    </w:pPr>
    <w:r>
      <w:rPr>
        <w:noProof/>
        <w:lang w:eastAsia="en-GB"/>
      </w:rPr>
      <w:pict w14:anchorId="7A055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0246" o:spid="_x0000_s2050" type="#_x0000_t75" style="position:absolute;margin-left:0;margin-top:0;width:450.9pt;height:239.9pt;z-index:-251657216;mso-position-horizontal:center;mso-position-horizontal-relative:margin;mso-position-vertical:center;mso-position-vertical-relative:margin" o:allowincell="f">
          <v:imagedata r:id="rId1" o:title="SQ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2E2F" w14:textId="77777777" w:rsidR="001F4937" w:rsidRDefault="00C235EA">
    <w:pPr>
      <w:pStyle w:val="Header"/>
    </w:pPr>
    <w:r>
      <w:rPr>
        <w:noProof/>
        <w:lang w:eastAsia="en-GB"/>
      </w:rPr>
      <w:pict w14:anchorId="38E3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0247" o:spid="_x0000_s2051" type="#_x0000_t75" style="position:absolute;margin-left:0;margin-top:0;width:450.9pt;height:239.9pt;z-index:-251656192;mso-position-horizontal:center;mso-position-horizontal-relative:margin;mso-position-vertical:center;mso-position-vertical-relative:margin" o:allowincell="f">
          <v:imagedata r:id="rId1" o:title="SQ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C2BE" w14:textId="77777777" w:rsidR="001F4937" w:rsidRDefault="00C235EA">
    <w:pPr>
      <w:pStyle w:val="Header"/>
    </w:pPr>
    <w:r>
      <w:rPr>
        <w:noProof/>
        <w:lang w:eastAsia="en-GB"/>
      </w:rPr>
      <w:pict w14:anchorId="023B5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0245" o:spid="_x0000_s2049" type="#_x0000_t75" style="position:absolute;margin-left:0;margin-top:0;width:450.9pt;height:239.9pt;z-index:-251658240;mso-position-horizontal:center;mso-position-horizontal-relative:margin;mso-position-vertical:center;mso-position-vertical-relative:margin" o:allowincell="f">
          <v:imagedata r:id="rId1" o:title="SQ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546"/>
    <w:multiLevelType w:val="hybridMultilevel"/>
    <w:tmpl w:val="58343050"/>
    <w:lvl w:ilvl="0" w:tplc="682247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55829"/>
    <w:multiLevelType w:val="hybridMultilevel"/>
    <w:tmpl w:val="C5A03FC0"/>
    <w:lvl w:ilvl="0" w:tplc="682247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F5904"/>
    <w:multiLevelType w:val="hybridMultilevel"/>
    <w:tmpl w:val="55BA5BB2"/>
    <w:lvl w:ilvl="0" w:tplc="682247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7C4314"/>
    <w:multiLevelType w:val="hybridMultilevel"/>
    <w:tmpl w:val="12A8F554"/>
    <w:lvl w:ilvl="0" w:tplc="058AC51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E2929"/>
    <w:multiLevelType w:val="hybridMultilevel"/>
    <w:tmpl w:val="98AA21B0"/>
    <w:lvl w:ilvl="0" w:tplc="058AC51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22CE8"/>
    <w:multiLevelType w:val="hybridMultilevel"/>
    <w:tmpl w:val="0DF0370C"/>
    <w:lvl w:ilvl="0" w:tplc="682247A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551268"/>
    <w:multiLevelType w:val="hybridMultilevel"/>
    <w:tmpl w:val="B45A6E0C"/>
    <w:lvl w:ilvl="0" w:tplc="682247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864471">
    <w:abstractNumId w:val="0"/>
  </w:num>
  <w:num w:numId="2" w16cid:durableId="1559781018">
    <w:abstractNumId w:val="1"/>
  </w:num>
  <w:num w:numId="3" w16cid:durableId="1203858498">
    <w:abstractNumId w:val="5"/>
  </w:num>
  <w:num w:numId="4" w16cid:durableId="1446578329">
    <w:abstractNumId w:val="6"/>
  </w:num>
  <w:num w:numId="5" w16cid:durableId="813256536">
    <w:abstractNumId w:val="2"/>
  </w:num>
  <w:num w:numId="6" w16cid:durableId="1678850805">
    <w:abstractNumId w:val="3"/>
  </w:num>
  <w:num w:numId="7" w16cid:durableId="1666588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37"/>
    <w:rsid w:val="000305BC"/>
    <w:rsid w:val="000F1296"/>
    <w:rsid w:val="00154B2A"/>
    <w:rsid w:val="00187AFE"/>
    <w:rsid w:val="001D04FC"/>
    <w:rsid w:val="001F4937"/>
    <w:rsid w:val="001F4A92"/>
    <w:rsid w:val="00211736"/>
    <w:rsid w:val="002545CC"/>
    <w:rsid w:val="0026568F"/>
    <w:rsid w:val="002E17E7"/>
    <w:rsid w:val="00304846"/>
    <w:rsid w:val="003163FF"/>
    <w:rsid w:val="00350B26"/>
    <w:rsid w:val="00382992"/>
    <w:rsid w:val="003A0D45"/>
    <w:rsid w:val="003A41FA"/>
    <w:rsid w:val="003C5A8E"/>
    <w:rsid w:val="003D16B2"/>
    <w:rsid w:val="003F562C"/>
    <w:rsid w:val="00443D8A"/>
    <w:rsid w:val="0044668C"/>
    <w:rsid w:val="004749F5"/>
    <w:rsid w:val="00493BCD"/>
    <w:rsid w:val="004C0F58"/>
    <w:rsid w:val="004C261D"/>
    <w:rsid w:val="0050364A"/>
    <w:rsid w:val="0052231D"/>
    <w:rsid w:val="00603E3E"/>
    <w:rsid w:val="006552BE"/>
    <w:rsid w:val="00697AFC"/>
    <w:rsid w:val="006C7676"/>
    <w:rsid w:val="006D676E"/>
    <w:rsid w:val="006E6371"/>
    <w:rsid w:val="0075438D"/>
    <w:rsid w:val="00786F92"/>
    <w:rsid w:val="008073C7"/>
    <w:rsid w:val="00812950"/>
    <w:rsid w:val="00814639"/>
    <w:rsid w:val="008771FF"/>
    <w:rsid w:val="008961E7"/>
    <w:rsid w:val="008C48BB"/>
    <w:rsid w:val="008C61B4"/>
    <w:rsid w:val="00911E69"/>
    <w:rsid w:val="009374B7"/>
    <w:rsid w:val="0098041A"/>
    <w:rsid w:val="00993C81"/>
    <w:rsid w:val="009977E8"/>
    <w:rsid w:val="009C7756"/>
    <w:rsid w:val="00A55A7A"/>
    <w:rsid w:val="00A913A6"/>
    <w:rsid w:val="00A91668"/>
    <w:rsid w:val="00AF6E7F"/>
    <w:rsid w:val="00B41235"/>
    <w:rsid w:val="00B44DA9"/>
    <w:rsid w:val="00B52FC8"/>
    <w:rsid w:val="00B778B2"/>
    <w:rsid w:val="00BE69A7"/>
    <w:rsid w:val="00C235EA"/>
    <w:rsid w:val="00C70268"/>
    <w:rsid w:val="00CE2E63"/>
    <w:rsid w:val="00D24EA8"/>
    <w:rsid w:val="00DB00AA"/>
    <w:rsid w:val="00E75C1F"/>
    <w:rsid w:val="00EF08D0"/>
    <w:rsid w:val="00F0548A"/>
    <w:rsid w:val="00F1251F"/>
    <w:rsid w:val="00F14BB0"/>
    <w:rsid w:val="00F40A15"/>
    <w:rsid w:val="00FF39C5"/>
    <w:rsid w:val="00FF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46C41"/>
  <w15:docId w15:val="{3DEEFF0A-7D96-40C4-A35F-759144EC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4937"/>
    <w:pPr>
      <w:autoSpaceDE w:val="0"/>
      <w:autoSpaceDN w:val="0"/>
      <w:adjustRightInd w:val="0"/>
    </w:pPr>
    <w:rPr>
      <w:color w:val="000000"/>
    </w:rPr>
  </w:style>
  <w:style w:type="paragraph" w:styleId="Header">
    <w:name w:val="header"/>
    <w:basedOn w:val="Normal"/>
    <w:link w:val="HeaderChar"/>
    <w:uiPriority w:val="99"/>
    <w:unhideWhenUsed/>
    <w:rsid w:val="001F4937"/>
    <w:pPr>
      <w:tabs>
        <w:tab w:val="center" w:pos="4513"/>
        <w:tab w:val="right" w:pos="9026"/>
      </w:tabs>
    </w:pPr>
  </w:style>
  <w:style w:type="character" w:customStyle="1" w:styleId="HeaderChar">
    <w:name w:val="Header Char"/>
    <w:basedOn w:val="DefaultParagraphFont"/>
    <w:link w:val="Header"/>
    <w:uiPriority w:val="99"/>
    <w:rsid w:val="001F4937"/>
  </w:style>
  <w:style w:type="paragraph" w:styleId="Footer">
    <w:name w:val="footer"/>
    <w:basedOn w:val="Normal"/>
    <w:link w:val="FooterChar"/>
    <w:uiPriority w:val="99"/>
    <w:unhideWhenUsed/>
    <w:rsid w:val="001F4937"/>
    <w:pPr>
      <w:tabs>
        <w:tab w:val="center" w:pos="4513"/>
        <w:tab w:val="right" w:pos="9026"/>
      </w:tabs>
    </w:pPr>
  </w:style>
  <w:style w:type="character" w:customStyle="1" w:styleId="FooterChar">
    <w:name w:val="Footer Char"/>
    <w:basedOn w:val="DefaultParagraphFont"/>
    <w:link w:val="Footer"/>
    <w:uiPriority w:val="99"/>
    <w:rsid w:val="001F4937"/>
  </w:style>
  <w:style w:type="paragraph" w:styleId="BalloonText">
    <w:name w:val="Balloon Text"/>
    <w:basedOn w:val="Normal"/>
    <w:link w:val="BalloonTextChar"/>
    <w:uiPriority w:val="99"/>
    <w:semiHidden/>
    <w:unhideWhenUsed/>
    <w:rsid w:val="00493BCD"/>
    <w:rPr>
      <w:rFonts w:ascii="Tahoma" w:hAnsi="Tahoma" w:cs="Tahoma"/>
      <w:sz w:val="16"/>
      <w:szCs w:val="16"/>
    </w:rPr>
  </w:style>
  <w:style w:type="character" w:customStyle="1" w:styleId="BalloonTextChar">
    <w:name w:val="Balloon Text Char"/>
    <w:basedOn w:val="DefaultParagraphFont"/>
    <w:link w:val="BalloonText"/>
    <w:uiPriority w:val="99"/>
    <w:semiHidden/>
    <w:rsid w:val="00493BCD"/>
    <w:rPr>
      <w:rFonts w:ascii="Tahoma" w:hAnsi="Tahoma" w:cs="Tahoma"/>
      <w:sz w:val="16"/>
      <w:szCs w:val="16"/>
    </w:rPr>
  </w:style>
  <w:style w:type="table" w:styleId="TableGrid">
    <w:name w:val="Table Grid"/>
    <w:basedOn w:val="TableNormal"/>
    <w:uiPriority w:val="59"/>
    <w:rsid w:val="002E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48A"/>
    <w:rPr>
      <w:sz w:val="16"/>
      <w:szCs w:val="16"/>
    </w:rPr>
  </w:style>
  <w:style w:type="paragraph" w:styleId="CommentText">
    <w:name w:val="annotation text"/>
    <w:basedOn w:val="Normal"/>
    <w:link w:val="CommentTextChar"/>
    <w:uiPriority w:val="99"/>
    <w:semiHidden/>
    <w:unhideWhenUsed/>
    <w:rsid w:val="00F0548A"/>
    <w:rPr>
      <w:sz w:val="20"/>
      <w:szCs w:val="20"/>
    </w:rPr>
  </w:style>
  <w:style w:type="character" w:customStyle="1" w:styleId="CommentTextChar">
    <w:name w:val="Comment Text Char"/>
    <w:basedOn w:val="DefaultParagraphFont"/>
    <w:link w:val="CommentText"/>
    <w:uiPriority w:val="99"/>
    <w:semiHidden/>
    <w:rsid w:val="00F0548A"/>
    <w:rPr>
      <w:sz w:val="20"/>
      <w:szCs w:val="20"/>
    </w:rPr>
  </w:style>
  <w:style w:type="paragraph" w:styleId="CommentSubject">
    <w:name w:val="annotation subject"/>
    <w:basedOn w:val="CommentText"/>
    <w:next w:val="CommentText"/>
    <w:link w:val="CommentSubjectChar"/>
    <w:uiPriority w:val="99"/>
    <w:semiHidden/>
    <w:unhideWhenUsed/>
    <w:rsid w:val="00F0548A"/>
    <w:rPr>
      <w:b/>
      <w:bCs/>
    </w:rPr>
  </w:style>
  <w:style w:type="character" w:customStyle="1" w:styleId="CommentSubjectChar">
    <w:name w:val="Comment Subject Char"/>
    <w:basedOn w:val="CommentTextChar"/>
    <w:link w:val="CommentSubject"/>
    <w:uiPriority w:val="99"/>
    <w:semiHidden/>
    <w:rsid w:val="00F05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7306">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17275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Meikle</dc:creator>
  <cp:lastModifiedBy>Eileen Reid</cp:lastModifiedBy>
  <cp:revision>7</cp:revision>
  <cp:lastPrinted>2017-10-24T09:24:00Z</cp:lastPrinted>
  <dcterms:created xsi:type="dcterms:W3CDTF">2022-10-05T13:31:00Z</dcterms:created>
  <dcterms:modified xsi:type="dcterms:W3CDTF">2022-10-19T09:46:00Z</dcterms:modified>
</cp:coreProperties>
</file>