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FBB5052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C89">
        <w:rPr>
          <w:rStyle w:val="Heading2Char"/>
          <w:b/>
        </w:rPr>
        <w:t>PPL2GEN15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E80D61">
        <w:rPr>
          <w:rStyle w:val="Heading2Char"/>
          <w:b/>
        </w:rPr>
        <w:t>J8KA 04</w:t>
      </w:r>
      <w:r w:rsidR="00954A3B" w:rsidRPr="00093275">
        <w:rPr>
          <w:rStyle w:val="Heading2Char"/>
          <w:b/>
        </w:rPr>
        <w:t>)</w:t>
      </w:r>
    </w:p>
    <w:p w14:paraId="5AC46536" w14:textId="3AED877A" w:rsidR="00954A3B" w:rsidRDefault="007A0C89" w:rsidP="00093275">
      <w:pPr>
        <w:pStyle w:val="Heading2"/>
      </w:pPr>
      <w:r>
        <w:t>Set Up and Close Kitchen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DAC82AF" w14:textId="22114DB0" w:rsidR="007A0C89" w:rsidRPr="007A0C89" w:rsidRDefault="007A0C89" w:rsidP="00260CC4">
      <w:pPr>
        <w:spacing w:after="480"/>
      </w:pPr>
      <w:r w:rsidRPr="007A0C89">
        <w:t xml:space="preserve">This standard is about ensuring that all resources and equipment are ready </w:t>
      </w:r>
      <w:r w:rsidR="000759EE" w:rsidRPr="007A0C89">
        <w:t>for kitchen</w:t>
      </w:r>
      <w:r w:rsidRPr="007A0C89">
        <w:t xml:space="preserve"> operations. It also details the skills required to shut down the kitchen at</w:t>
      </w:r>
      <w:r w:rsidR="000759EE">
        <w:t xml:space="preserve"> </w:t>
      </w:r>
      <w:r w:rsidRPr="007A0C89">
        <w:t>the end of the shift.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2E49BCEF" w14:textId="57FA336D" w:rsidR="004B21D6" w:rsidRPr="0020249E" w:rsidRDefault="004B21D6" w:rsidP="004B21D6">
      <w:pPr>
        <w:pStyle w:val="Numberedlistlevel1"/>
        <w:numPr>
          <w:ilvl w:val="0"/>
          <w:numId w:val="0"/>
        </w:numPr>
      </w:pPr>
      <w:r w:rsidRPr="0020249E">
        <w:t xml:space="preserve">The assessor </w:t>
      </w:r>
      <w:r w:rsidRPr="0020249E">
        <w:rPr>
          <w:u w:val="single"/>
        </w:rPr>
        <w:t>must</w:t>
      </w:r>
      <w:r w:rsidRPr="0020249E">
        <w:t xml:space="preserve"> assess P</w:t>
      </w:r>
      <w:r>
        <w:t>Cs</w:t>
      </w:r>
      <w:r w:rsidRPr="0020249E">
        <w:t xml:space="preserve"> 1-3, 5, 7-10 and 12 by directly observing the</w:t>
      </w:r>
      <w:r>
        <w:t xml:space="preserve"> </w:t>
      </w:r>
      <w:r w:rsidRPr="0020249E">
        <w:t>candidate’s work.</w:t>
      </w:r>
    </w:p>
    <w:p w14:paraId="3DDB0ACC" w14:textId="77777777" w:rsidR="004B21D6" w:rsidRDefault="004B21D6" w:rsidP="004B21D6">
      <w:pPr>
        <w:pStyle w:val="Numberedlistlevel1"/>
        <w:numPr>
          <w:ilvl w:val="0"/>
          <w:numId w:val="0"/>
        </w:numPr>
      </w:pPr>
      <w:r w:rsidRPr="0020249E">
        <w:t>PCs 4, 6 and 11 may be assessed by alternative methods if observation is not possible.</w:t>
      </w:r>
    </w:p>
    <w:p w14:paraId="78BE8E73" w14:textId="6726C5D2" w:rsidR="004B21D6" w:rsidRDefault="004B21D6" w:rsidP="004B21D6">
      <w:pPr>
        <w:pStyle w:val="Numberedlistlevel1"/>
      </w:pPr>
      <w:r w:rsidRPr="004B21D6">
        <w:t>Prioritise your work and carry it out in an efficient manner when preparing</w:t>
      </w:r>
      <w:r>
        <w:t xml:space="preserve"> </w:t>
      </w:r>
      <w:r w:rsidRPr="004B21D6">
        <w:t>the kitchen for food operations</w:t>
      </w:r>
      <w:r w:rsidR="00927F5E">
        <w:t>.</w:t>
      </w:r>
    </w:p>
    <w:p w14:paraId="60241EC6" w14:textId="558000F3" w:rsidR="004B21D6" w:rsidRDefault="004B21D6" w:rsidP="004B21D6">
      <w:pPr>
        <w:pStyle w:val="Numberedlistlevel1"/>
      </w:pPr>
      <w:r w:rsidRPr="004B21D6">
        <w:t>Check that kitchen resources and</w:t>
      </w:r>
      <w:r>
        <w:t xml:space="preserve"> </w:t>
      </w:r>
      <w:r w:rsidRPr="004B21D6">
        <w:t>equipment are clean, of the right type, sufficient and in working order</w:t>
      </w:r>
      <w:r w:rsidR="00927F5E">
        <w:t>.</w:t>
      </w:r>
    </w:p>
    <w:p w14:paraId="4F95D9FF" w14:textId="2AB14731" w:rsidR="004B21D6" w:rsidRPr="004B21D6" w:rsidRDefault="004B21D6" w:rsidP="004B21D6">
      <w:pPr>
        <w:pStyle w:val="Numberedlistlevel1"/>
      </w:pPr>
      <w:r w:rsidRPr="004B21D6">
        <w:t>Turn</w:t>
      </w:r>
      <w:r>
        <w:t xml:space="preserve"> </w:t>
      </w:r>
      <w:r w:rsidRPr="004B21D6">
        <w:t>on appropriate kitchen equipment at the correct time and to the correct setting</w:t>
      </w:r>
      <w:r w:rsidR="00927F5E">
        <w:t>.</w:t>
      </w:r>
    </w:p>
    <w:p w14:paraId="0CF61773" w14:textId="16F7CC41" w:rsidR="004B21D6" w:rsidRDefault="004B21D6" w:rsidP="004B21D6">
      <w:pPr>
        <w:pStyle w:val="Numberedlistlevel1"/>
      </w:pPr>
      <w:r w:rsidRPr="004B21D6">
        <w:t>Report any unhygienic or defective kitchen equipment</w:t>
      </w:r>
      <w:r w:rsidR="00260CC4">
        <w:t>,</w:t>
      </w:r>
      <w:r w:rsidRPr="004B21D6">
        <w:t xml:space="preserve"> or other problems to</w:t>
      </w:r>
      <w:r>
        <w:t xml:space="preserve"> </w:t>
      </w:r>
      <w:r w:rsidRPr="004B21D6">
        <w:t>the appropriate person</w:t>
      </w:r>
      <w:r w:rsidR="00927F5E">
        <w:t>.</w:t>
      </w:r>
    </w:p>
    <w:p w14:paraId="6D43FC59" w14:textId="3FFD3B0F" w:rsidR="004B21D6" w:rsidRDefault="004B21D6" w:rsidP="004B21D6">
      <w:pPr>
        <w:pStyle w:val="Numberedlistlevel1"/>
      </w:pPr>
      <w:r w:rsidRPr="004B21D6">
        <w:t>Complete work and documentation in line with legal</w:t>
      </w:r>
      <w:r>
        <w:t xml:space="preserve"> </w:t>
      </w:r>
      <w:r w:rsidRPr="004B21D6">
        <w:t>requirements, workplace procedures and relevant legislation relating to</w:t>
      </w:r>
      <w:r>
        <w:t xml:space="preserve"> </w:t>
      </w:r>
      <w:r w:rsidRPr="004B21D6">
        <w:t>hygienic and safe working practices when preparing the kitchen for the food</w:t>
      </w:r>
      <w:r>
        <w:t xml:space="preserve"> </w:t>
      </w:r>
      <w:r w:rsidRPr="004B21D6">
        <w:t>operations</w:t>
      </w:r>
      <w:r w:rsidR="00927F5E">
        <w:t>.</w:t>
      </w:r>
    </w:p>
    <w:p w14:paraId="6FB33A44" w14:textId="66FC75E9" w:rsidR="004B21D6" w:rsidRDefault="004B21D6" w:rsidP="004B21D6">
      <w:pPr>
        <w:pStyle w:val="Numberedlistlevel1"/>
      </w:pPr>
      <w:r w:rsidRPr="004B21D6">
        <w:t>Request assistance if unable to prepare the kitchen within</w:t>
      </w:r>
      <w:r>
        <w:t xml:space="preserve"> </w:t>
      </w:r>
      <w:r w:rsidRPr="004B21D6">
        <w:t>specified timescales</w:t>
      </w:r>
      <w:r w:rsidR="00927F5E">
        <w:t>.</w:t>
      </w:r>
    </w:p>
    <w:p w14:paraId="70F7C0F6" w14:textId="211B3ED1" w:rsidR="004B21D6" w:rsidRDefault="004B21D6" w:rsidP="004B21D6">
      <w:pPr>
        <w:pStyle w:val="Numberedlistlevel1"/>
      </w:pPr>
      <w:r w:rsidRPr="004B21D6">
        <w:t>Prioritise work and carry it out in an efficient manner</w:t>
      </w:r>
      <w:r>
        <w:t xml:space="preserve"> </w:t>
      </w:r>
      <w:r w:rsidRPr="004B21D6">
        <w:t>when closing kitchen operations</w:t>
      </w:r>
      <w:r w:rsidR="00927F5E">
        <w:t>.</w:t>
      </w:r>
    </w:p>
    <w:p w14:paraId="7C399B78" w14:textId="642F0FFB" w:rsidR="004B21D6" w:rsidRDefault="004B21D6" w:rsidP="004B21D6">
      <w:pPr>
        <w:pStyle w:val="Numberedlistlevel1"/>
      </w:pPr>
      <w:r w:rsidRPr="004B21D6">
        <w:t>Ensure that all resources and equipment</w:t>
      </w:r>
      <w:r>
        <w:t xml:space="preserve"> </w:t>
      </w:r>
      <w:r w:rsidRPr="004B21D6">
        <w:t>are clean and store all resources and equipment to your workplace and legal</w:t>
      </w:r>
      <w:r>
        <w:t xml:space="preserve"> </w:t>
      </w:r>
      <w:r w:rsidRPr="004B21D6">
        <w:t>requirements</w:t>
      </w:r>
      <w:r w:rsidR="00927F5E">
        <w:t>.</w:t>
      </w:r>
    </w:p>
    <w:p w14:paraId="7953379C" w14:textId="123AF80B" w:rsidR="004B21D6" w:rsidRDefault="004B21D6" w:rsidP="004B21D6">
      <w:pPr>
        <w:pStyle w:val="Numberedlistlevel1"/>
      </w:pPr>
      <w:r w:rsidRPr="004B21D6">
        <w:t>Check and record that food storage equipment meets your</w:t>
      </w:r>
      <w:r>
        <w:t xml:space="preserve"> </w:t>
      </w:r>
      <w:r w:rsidRPr="004B21D6">
        <w:t>workplace and legal requirements for kitchen closure</w:t>
      </w:r>
      <w:r w:rsidR="00927F5E">
        <w:t>.</w:t>
      </w:r>
    </w:p>
    <w:p w14:paraId="138BA3E1" w14:textId="1F849E0F" w:rsidR="004B21D6" w:rsidRDefault="004B21D6" w:rsidP="004B21D6">
      <w:pPr>
        <w:pStyle w:val="Numberedlistlevel1"/>
      </w:pPr>
      <w:r w:rsidRPr="004B21D6">
        <w:t>Check that cooking</w:t>
      </w:r>
      <w:r>
        <w:t xml:space="preserve"> </w:t>
      </w:r>
      <w:r w:rsidRPr="004B21D6">
        <w:t>equipment is turned off, unplugged where necessary, and cleaned following</w:t>
      </w:r>
      <w:r>
        <w:t xml:space="preserve"> </w:t>
      </w:r>
      <w:r w:rsidRPr="004B21D6">
        <w:t>manufacturers' and your workplace standard</w:t>
      </w:r>
      <w:r w:rsidR="00260CC4">
        <w:t>.</w:t>
      </w:r>
    </w:p>
    <w:p w14:paraId="7420E42A" w14:textId="4DD4F776" w:rsidR="004B21D6" w:rsidRDefault="004B21D6" w:rsidP="004B21D6">
      <w:pPr>
        <w:pStyle w:val="Numberedlistlevel1"/>
      </w:pPr>
      <w:r w:rsidRPr="004B21D6">
        <w:t>Report any problem with</w:t>
      </w:r>
      <w:r>
        <w:t xml:space="preserve"> </w:t>
      </w:r>
      <w:r w:rsidRPr="004B21D6">
        <w:t xml:space="preserve">equipment </w:t>
      </w:r>
      <w:r w:rsidR="008C6A25">
        <w:t>to</w:t>
      </w:r>
      <w:r w:rsidRPr="004B21D6">
        <w:t xml:space="preserve"> the appropriate person</w:t>
      </w:r>
      <w:r w:rsidR="00927F5E">
        <w:t>.</w:t>
      </w:r>
    </w:p>
    <w:p w14:paraId="013EDA15" w14:textId="1DCC98FE" w:rsidR="004B21D6" w:rsidRPr="004B21D6" w:rsidRDefault="004B21D6" w:rsidP="004B21D6">
      <w:pPr>
        <w:pStyle w:val="Numberedlistlevel1"/>
      </w:pPr>
      <w:r w:rsidRPr="004B21D6">
        <w:t>Complete work and documentation</w:t>
      </w:r>
      <w:r>
        <w:t xml:space="preserve"> </w:t>
      </w:r>
      <w:r w:rsidRPr="004B21D6">
        <w:t>in line with legal requirements, workplace procedures and relevant legislation</w:t>
      </w:r>
      <w:r>
        <w:t xml:space="preserve"> </w:t>
      </w:r>
      <w:r w:rsidRPr="004B21D6">
        <w:t>relating to hygienic and safe working practices when closing down the kitchen</w:t>
      </w:r>
      <w:r>
        <w:t xml:space="preserve"> </w:t>
      </w:r>
      <w:r w:rsidRPr="004B21D6">
        <w:t>after operations</w:t>
      </w:r>
      <w:r w:rsidR="00927F5E"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1F7DB5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B21D6" w:rsidRPr="00CE1EFE" w14:paraId="5FEC05F7" w14:textId="77777777" w:rsidTr="004B21D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</w:tr>
      <w:tr w:rsidR="004B21D6" w:rsidRPr="00CE1EFE" w14:paraId="0C07B149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4B21D6" w:rsidRPr="00086BF6" w:rsidRDefault="004B21D6" w:rsidP="00230C11">
            <w:pPr>
              <w:pStyle w:val="Tabletext"/>
            </w:pPr>
          </w:p>
        </w:tc>
      </w:tr>
      <w:tr w:rsidR="004B21D6" w:rsidRPr="00CE1EFE" w14:paraId="5691F8E7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4A32F03C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5BCF0F21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5E86B179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025430C9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2F914E6F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48CC36D9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0B0FE2BD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5A30C108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05978FAF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3D2C2388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4B21D6" w:rsidRPr="00CE1EFE" w:rsidRDefault="004B21D6" w:rsidP="00230C11">
            <w:pPr>
              <w:pStyle w:val="Tabletext"/>
            </w:pPr>
          </w:p>
        </w:tc>
      </w:tr>
    </w:tbl>
    <w:p w14:paraId="615BDCAA" w14:textId="4D15FC33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0159F6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0E37845E" w14:textId="19A818E5" w:rsidR="004B21D6" w:rsidRPr="000844AB" w:rsidRDefault="004B21D6" w:rsidP="004B21D6">
      <w:r w:rsidRPr="000844AB">
        <w:t>There must be performance evidence, gathered through direct observation by the assessor of the candidate’s work for</w:t>
      </w:r>
      <w:r>
        <w:t>, covering</w:t>
      </w:r>
      <w:r w:rsidRPr="000844AB">
        <w:t>:</w:t>
      </w:r>
    </w:p>
    <w:p w14:paraId="02DDC772" w14:textId="659C8A20" w:rsidR="004B21D6" w:rsidRPr="000844AB" w:rsidRDefault="004B21D6" w:rsidP="00697DAF">
      <w:pPr>
        <w:pStyle w:val="Numberedlistlevel1"/>
        <w:numPr>
          <w:ilvl w:val="0"/>
          <w:numId w:val="13"/>
        </w:numPr>
      </w:pPr>
      <w:r w:rsidRPr="00F60E69">
        <w:t>Tools -</w:t>
      </w:r>
      <w:r w:rsidRPr="00697DAF">
        <w:rPr>
          <w:b/>
        </w:rPr>
        <w:t xml:space="preserve"> both</w:t>
      </w:r>
      <w:r w:rsidRPr="000844AB">
        <w:t xml:space="preserve">: </w:t>
      </w:r>
    </w:p>
    <w:p w14:paraId="113903DC" w14:textId="40DA71F8" w:rsidR="004B21D6" w:rsidRDefault="004B21D6" w:rsidP="00927F5E">
      <w:pPr>
        <w:pStyle w:val="Numberedlistlevel2"/>
        <w:ind w:left="993" w:hanging="568"/>
      </w:pPr>
      <w:r>
        <w:t>1.1</w:t>
      </w:r>
      <w:r w:rsidR="00927F5E">
        <w:tab/>
      </w:r>
      <w:r w:rsidRPr="000844AB">
        <w:t xml:space="preserve">knives </w:t>
      </w:r>
    </w:p>
    <w:p w14:paraId="5355BF2D" w14:textId="675622A9" w:rsidR="004B21D6" w:rsidRPr="000844AB" w:rsidRDefault="004B21D6" w:rsidP="00927F5E">
      <w:pPr>
        <w:pStyle w:val="Numberedlistlevel2"/>
        <w:spacing w:after="240"/>
        <w:ind w:left="993" w:hanging="568"/>
      </w:pPr>
      <w:r>
        <w:t>1.2</w:t>
      </w:r>
      <w:r w:rsidR="00927F5E">
        <w:tab/>
      </w:r>
      <w:r w:rsidRPr="000844AB">
        <w:t>utensils</w:t>
      </w:r>
    </w:p>
    <w:p w14:paraId="1A682BF6" w14:textId="631720A1" w:rsidR="004B21D6" w:rsidRPr="000844AB" w:rsidRDefault="004B21D6" w:rsidP="00697DAF">
      <w:pPr>
        <w:pStyle w:val="Numberedlistlevel1"/>
      </w:pPr>
      <w:r>
        <w:t xml:space="preserve">Kitchen equipment - </w:t>
      </w:r>
      <w:r w:rsidRPr="00F60E69">
        <w:rPr>
          <w:b/>
        </w:rPr>
        <w:t>three</w:t>
      </w:r>
      <w:r w:rsidRPr="00F60E69">
        <w:t xml:space="preserve"> </w:t>
      </w:r>
      <w:r w:rsidRPr="00F60E69">
        <w:rPr>
          <w:b/>
        </w:rPr>
        <w:t>from:</w:t>
      </w:r>
    </w:p>
    <w:p w14:paraId="296B3B4F" w14:textId="1DB19F10" w:rsidR="004B21D6" w:rsidRDefault="004B21D6" w:rsidP="00927F5E">
      <w:pPr>
        <w:pStyle w:val="Numberedlistlevel2"/>
        <w:ind w:left="993" w:hanging="568"/>
      </w:pPr>
      <w:r>
        <w:t>2.1</w:t>
      </w:r>
      <w:r w:rsidR="00927F5E">
        <w:tab/>
      </w:r>
      <w:r w:rsidRPr="000844AB">
        <w:t xml:space="preserve">oven </w:t>
      </w:r>
      <w:r>
        <w:t>/</w:t>
      </w:r>
      <w:r w:rsidRPr="000844AB">
        <w:t xml:space="preserve"> combination oven</w:t>
      </w:r>
    </w:p>
    <w:p w14:paraId="11CF0F5B" w14:textId="44B20B8F" w:rsidR="004B21D6" w:rsidRDefault="004B21D6" w:rsidP="00927F5E">
      <w:pPr>
        <w:pStyle w:val="Numberedlistlevel2"/>
        <w:ind w:left="993" w:hanging="568"/>
      </w:pPr>
      <w:r>
        <w:t>2.2</w:t>
      </w:r>
      <w:r w:rsidR="00927F5E">
        <w:tab/>
      </w:r>
      <w:r w:rsidRPr="000844AB">
        <w:t xml:space="preserve">grill </w:t>
      </w:r>
    </w:p>
    <w:p w14:paraId="4F8CDEBD" w14:textId="23B3A953" w:rsidR="004B21D6" w:rsidRDefault="004B21D6" w:rsidP="00927F5E">
      <w:pPr>
        <w:pStyle w:val="Numberedlistlevel2"/>
        <w:ind w:left="993" w:hanging="568"/>
      </w:pPr>
      <w:r>
        <w:t>2.3</w:t>
      </w:r>
      <w:r w:rsidR="00927F5E">
        <w:tab/>
      </w:r>
      <w:r w:rsidRPr="000844AB">
        <w:t>hob</w:t>
      </w:r>
    </w:p>
    <w:p w14:paraId="6A49D9D7" w14:textId="7460F6B9" w:rsidR="004B21D6" w:rsidRDefault="004B21D6" w:rsidP="00927F5E">
      <w:pPr>
        <w:pStyle w:val="Numberedlistlevel2"/>
        <w:ind w:left="993" w:hanging="568"/>
      </w:pPr>
      <w:r>
        <w:t>2.4</w:t>
      </w:r>
      <w:r w:rsidR="00927F5E">
        <w:tab/>
      </w:r>
      <w:r w:rsidRPr="000844AB">
        <w:t>fryer</w:t>
      </w:r>
    </w:p>
    <w:p w14:paraId="2E36FD80" w14:textId="018D8662" w:rsidR="004B21D6" w:rsidRDefault="004B21D6" w:rsidP="00927F5E">
      <w:pPr>
        <w:pStyle w:val="Numberedlistlevel2"/>
        <w:ind w:left="993" w:hanging="568"/>
      </w:pPr>
      <w:r>
        <w:t>2.5</w:t>
      </w:r>
      <w:r w:rsidR="00927F5E">
        <w:tab/>
      </w:r>
      <w:r w:rsidRPr="000844AB">
        <w:t>microwave</w:t>
      </w:r>
    </w:p>
    <w:p w14:paraId="0EA7DCAA" w14:textId="2B4535FF" w:rsidR="004B21D6" w:rsidRPr="000844AB" w:rsidRDefault="004B21D6" w:rsidP="00927F5E">
      <w:pPr>
        <w:pStyle w:val="Numberedlistlevel2"/>
        <w:spacing w:after="240"/>
        <w:ind w:left="993" w:hanging="568"/>
      </w:pPr>
      <w:r>
        <w:t>2.6</w:t>
      </w:r>
      <w:r w:rsidR="00927F5E">
        <w:tab/>
      </w:r>
      <w:r w:rsidRPr="000844AB">
        <w:t>steamer</w:t>
      </w:r>
    </w:p>
    <w:p w14:paraId="33DD1B5C" w14:textId="34C5762E" w:rsidR="004B21D6" w:rsidRPr="000844AB" w:rsidRDefault="004B21D6" w:rsidP="00697DAF">
      <w:pPr>
        <w:pStyle w:val="Numberedlistlevel1"/>
      </w:pPr>
      <w:r w:rsidRPr="00F60E69">
        <w:t>Food storage equipment</w:t>
      </w:r>
      <w:r w:rsidRPr="00F60E69">
        <w:rPr>
          <w:b/>
        </w:rPr>
        <w:t xml:space="preserve"> </w:t>
      </w:r>
      <w:r>
        <w:rPr>
          <w:b/>
        </w:rPr>
        <w:t xml:space="preserve">- </w:t>
      </w:r>
      <w:r w:rsidRPr="000844AB">
        <w:rPr>
          <w:b/>
        </w:rPr>
        <w:t>two</w:t>
      </w:r>
      <w:r>
        <w:rPr>
          <w:b/>
        </w:rPr>
        <w:t xml:space="preserve"> from:</w:t>
      </w:r>
    </w:p>
    <w:p w14:paraId="446F7256" w14:textId="2A013F68" w:rsidR="004B21D6" w:rsidRDefault="004B21D6" w:rsidP="00927F5E">
      <w:pPr>
        <w:pStyle w:val="Numberedlistlevel2"/>
        <w:ind w:left="993" w:hanging="568"/>
      </w:pPr>
      <w:r>
        <w:t>3.1</w:t>
      </w:r>
      <w:r w:rsidR="00927F5E">
        <w:tab/>
      </w:r>
      <w:r w:rsidRPr="000844AB">
        <w:t>dry store or larder</w:t>
      </w:r>
    </w:p>
    <w:p w14:paraId="028225E3" w14:textId="14C53B9F" w:rsidR="004B21D6" w:rsidRDefault="004B21D6" w:rsidP="00927F5E">
      <w:pPr>
        <w:pStyle w:val="Numberedlistlevel2"/>
        <w:ind w:left="993" w:hanging="568"/>
      </w:pPr>
      <w:r>
        <w:t>3.2</w:t>
      </w:r>
      <w:r w:rsidR="00927F5E">
        <w:tab/>
      </w:r>
      <w:r w:rsidRPr="000844AB">
        <w:t>fridg</w:t>
      </w:r>
      <w:r>
        <w:t>e</w:t>
      </w:r>
    </w:p>
    <w:p w14:paraId="55F4245E" w14:textId="55A54EB0" w:rsidR="004B21D6" w:rsidRPr="000844AB" w:rsidRDefault="004B21D6" w:rsidP="00927F5E">
      <w:pPr>
        <w:pStyle w:val="Numberedlistlevel2"/>
        <w:spacing w:after="240"/>
        <w:ind w:left="993" w:hanging="568"/>
      </w:pPr>
      <w:r>
        <w:t>3.3</w:t>
      </w:r>
      <w:r w:rsidR="00927F5E">
        <w:tab/>
      </w:r>
      <w:r w:rsidRPr="000844AB">
        <w:t>freezer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0159F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4AF0ABE9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246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B21D6" w:rsidRPr="00CE1EFE" w14:paraId="1BA98472" w14:textId="77777777" w:rsidTr="004B21D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5836B5AC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17AB757" w14:textId="2A361CB6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687E2810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58C9A05" w14:textId="3B6B0EA6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DFD8151" w14:textId="04763FA5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4156CF8D" w14:textId="5438364C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A6526DF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5590F9E6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35CFD1EF" w14:textId="77777777" w:rsidR="004B21D6" w:rsidRPr="00CE1EFE" w:rsidRDefault="004B21D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4B21D6" w:rsidRPr="00CE1EFE" w14:paraId="0397FF85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4B21D6" w:rsidRPr="00086BF6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4B21D6" w:rsidRPr="00086BF6" w:rsidRDefault="004B21D6" w:rsidP="00230C11">
            <w:pPr>
              <w:pStyle w:val="Tabletext"/>
            </w:pPr>
          </w:p>
        </w:tc>
      </w:tr>
      <w:tr w:rsidR="004B21D6" w:rsidRPr="00CE1EFE" w14:paraId="5EA4D528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60E23408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0236656C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4A47EB09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6A5C16F7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1B80C9BA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2F594F47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0E11E15B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4C96054B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4B19DDC0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4B21D6" w:rsidRPr="00CE1EFE" w:rsidRDefault="004B21D6" w:rsidP="00230C11">
            <w:pPr>
              <w:pStyle w:val="Tabletext"/>
            </w:pPr>
          </w:p>
        </w:tc>
      </w:tr>
      <w:tr w:rsidR="004B21D6" w:rsidRPr="00CE1EFE" w14:paraId="41E311AC" w14:textId="77777777" w:rsidTr="004B21D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4B21D6" w:rsidRPr="00CE1EFE" w:rsidRDefault="004B21D6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4B21D6" w:rsidRPr="00CE1EFE" w:rsidRDefault="004B21D6" w:rsidP="00230C11">
            <w:pPr>
              <w:pStyle w:val="Tabletext"/>
            </w:pPr>
          </w:p>
        </w:tc>
      </w:tr>
    </w:tbl>
    <w:p w14:paraId="44095C40" w14:textId="71628ADA" w:rsidR="00196ECB" w:rsidRDefault="00196ECB" w:rsidP="004B21D6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DFFE536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Safe and hygienic working practices when preparing kitchen for food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operations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D08FABF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How and why it is important to check that all equipment is in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good working order and switched on in readiness for food operations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C8838B8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Why it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is important to monitor the temperature of kitchen storage equipment and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areas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0F4C1B0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types of problems that may occur when preparing the kitchen for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food operations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8B7446B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Safe and hygienic working practices when closing kitchen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after food operations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59C8A1A6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Why all kitchen tools and equipment should be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cleaned and stored correctly following use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00EE42E9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importance of following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manufacturers' and workplace procedures for turning off, unplugging and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cleaning kitchen equipment following use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4F89A3CF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Why and to whom any problems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should be reported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E5E1AC2" w:rsidR="009772AA" w:rsidRPr="004B21D6" w:rsidRDefault="004B21D6" w:rsidP="004B21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types of problems that may occur when closing the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4B21D6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kitchen after food operations</w:t>
            </w:r>
            <w:r w:rsidR="00697DA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BE7C4EA" w:rsidR="007C2206" w:rsidRPr="007F19F4" w:rsidRDefault="004B21D6" w:rsidP="00542753">
    <w:pPr>
      <w:pStyle w:val="Footer"/>
      <w:pBdr>
        <w:top w:val="single" w:sz="4" w:space="1" w:color="auto"/>
      </w:pBdr>
    </w:pPr>
    <w:r>
      <w:t>PPL2GEN15</w:t>
    </w:r>
    <w:r w:rsidR="009C296C">
      <w:t xml:space="preserve"> </w:t>
    </w:r>
    <w:r w:rsidR="009C296C" w:rsidRPr="00EC3E42">
      <w:t>(</w:t>
    </w:r>
    <w:r w:rsidR="00E80D61">
      <w:t>J8KA 04</w:t>
    </w:r>
    <w:r w:rsidR="009C296C" w:rsidRPr="00EC3E42">
      <w:t xml:space="preserve">) </w:t>
    </w:r>
    <w:r>
      <w:t>Set Up and Close Kitchen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610212B8" w:rsidR="009C296C" w:rsidRPr="00E80D61" w:rsidRDefault="00E80D61" w:rsidP="00E80D61">
    <w:pPr>
      <w:pStyle w:val="Footer"/>
      <w:pBdr>
        <w:top w:val="single" w:sz="4" w:space="1" w:color="auto"/>
      </w:pBdr>
    </w:pPr>
    <w:r>
      <w:t xml:space="preserve">PPL2GEN15 </w:t>
    </w:r>
    <w:r w:rsidRPr="00EC3E42">
      <w:t>(</w:t>
    </w:r>
    <w:r>
      <w:t>J8KA 04</w:t>
    </w:r>
    <w:r w:rsidRPr="00EC3E42">
      <w:t xml:space="preserve">) </w:t>
    </w:r>
    <w:r>
      <w:t>Set Up and Close Kitchen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C141633"/>
    <w:multiLevelType w:val="hybridMultilevel"/>
    <w:tmpl w:val="2DCAEA3E"/>
    <w:lvl w:ilvl="0" w:tplc="67CC96C2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60B1"/>
    <w:multiLevelType w:val="hybridMultilevel"/>
    <w:tmpl w:val="D5EA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9917B8C"/>
    <w:multiLevelType w:val="hybridMultilevel"/>
    <w:tmpl w:val="0CF4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71F"/>
    <w:multiLevelType w:val="hybridMultilevel"/>
    <w:tmpl w:val="BD527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7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3"/>
  </w:num>
  <w:num w:numId="2" w16cid:durableId="539975744">
    <w:abstractNumId w:val="7"/>
  </w:num>
  <w:num w:numId="3" w16cid:durableId="359866569">
    <w:abstractNumId w:val="0"/>
    <w:lvlOverride w:ilvl="0">
      <w:startOverride w:val="1"/>
    </w:lvlOverride>
  </w:num>
  <w:num w:numId="4" w16cid:durableId="1991864946">
    <w:abstractNumId w:val="6"/>
  </w:num>
  <w:num w:numId="5" w16cid:durableId="386151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5692607">
    <w:abstractNumId w:val="4"/>
  </w:num>
  <w:num w:numId="10" w16cid:durableId="1344474710">
    <w:abstractNumId w:val="1"/>
  </w:num>
  <w:num w:numId="11" w16cid:durableId="1638753350">
    <w:abstractNumId w:val="2"/>
  </w:num>
  <w:num w:numId="12" w16cid:durableId="1784223342">
    <w:abstractNumId w:val="5"/>
  </w:num>
  <w:num w:numId="13" w16cid:durableId="1391616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59F6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759EE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60CC4"/>
    <w:rsid w:val="00285000"/>
    <w:rsid w:val="002854D9"/>
    <w:rsid w:val="00297A87"/>
    <w:rsid w:val="002D0A85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937C1"/>
    <w:rsid w:val="004A7E98"/>
    <w:rsid w:val="004B21D6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015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97DAF"/>
    <w:rsid w:val="006A1E77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0C89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6A25"/>
    <w:rsid w:val="008E7792"/>
    <w:rsid w:val="008F5510"/>
    <w:rsid w:val="00910423"/>
    <w:rsid w:val="009157B2"/>
    <w:rsid w:val="009207C6"/>
    <w:rsid w:val="009208CD"/>
    <w:rsid w:val="00921C41"/>
    <w:rsid w:val="00927F5E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0C1D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7FE6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21E58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27E4"/>
    <w:rsid w:val="00BA3C6F"/>
    <w:rsid w:val="00BC3CE1"/>
    <w:rsid w:val="00BD0A78"/>
    <w:rsid w:val="00BD378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C02E5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8257D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0D61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1D6"/>
    <w:rsid w:val="00FD0AAF"/>
    <w:rsid w:val="00FD2D45"/>
    <w:rsid w:val="00FE4958"/>
    <w:rsid w:val="00FF34A1"/>
    <w:rsid w:val="00FF6492"/>
    <w:rsid w:val="00FF676C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2024-10-16T14:04:00Z</dcterms:created>
  <dcterms:modified xsi:type="dcterms:W3CDTF">2024-10-28T09:43:00Z</dcterms:modified>
</cp:coreProperties>
</file>