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A6BBE26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1D7" w:rsidRPr="003611D7">
        <w:rPr>
          <w:rStyle w:val="Heading2Char"/>
          <w:b/>
          <w:noProof/>
        </w:rPr>
        <w:t>PPL2PRD5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07BED">
        <w:rPr>
          <w:rStyle w:val="Heading2Char"/>
          <w:b/>
        </w:rPr>
        <w:t>J8K5-04</w:t>
      </w:r>
      <w:r w:rsidR="00954A3B" w:rsidRPr="00093275">
        <w:rPr>
          <w:rStyle w:val="Heading2Char"/>
          <w:b/>
        </w:rPr>
        <w:t>)</w:t>
      </w:r>
    </w:p>
    <w:p w14:paraId="5AC46536" w14:textId="061C6E31" w:rsidR="00954A3B" w:rsidRDefault="003611D7" w:rsidP="00093275">
      <w:pPr>
        <w:pStyle w:val="Heading2"/>
      </w:pPr>
      <w:r w:rsidRPr="003611D7">
        <w:t>Cook</w:t>
      </w:r>
      <w:r w:rsidR="00705563">
        <w:t>-C</w:t>
      </w:r>
      <w:r w:rsidRPr="003611D7">
        <w:t>hilled Food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E8A8602" w:rsidR="00895D98" w:rsidRDefault="00D20432" w:rsidP="00EA48C8">
      <w:r w:rsidRPr="00D20432">
        <w:t>The standard is about processing cook-chilled foods. The standard covers</w:t>
      </w:r>
      <w:r>
        <w:t xml:space="preserve"> </w:t>
      </w:r>
      <w:r w:rsidRPr="00D20432">
        <w:t>portioning, packaging and blast-chilling food, sealing and labelling blast-chilled</w:t>
      </w:r>
      <w:r>
        <w:t xml:space="preserve"> </w:t>
      </w:r>
      <w:r w:rsidRPr="00D20432">
        <w:t>food correctly;</w:t>
      </w:r>
      <w:r>
        <w:t xml:space="preserve"> </w:t>
      </w:r>
      <w:r w:rsidRPr="00D20432">
        <w:t>whilst monitoring and recording its temperature. The standard</w:t>
      </w:r>
      <w:r>
        <w:t xml:space="preserve"> </w:t>
      </w:r>
      <w:r w:rsidRPr="00D20432">
        <w:t>also covers storing packaged cook-chilled foods correctly, stock rotation</w:t>
      </w:r>
      <w:r w:rsidR="00530E9F">
        <w:t xml:space="preserve"> </w:t>
      </w:r>
      <w:r w:rsidRPr="00D20432">
        <w:t>procedures and maintenance of accurate records.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405F889B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1F6D03E1" w14:textId="0FE7CE7D" w:rsidR="004701FD" w:rsidRDefault="000210DF" w:rsidP="00895D98">
      <w:r w:rsidRPr="0065481D">
        <w:t xml:space="preserve">The assessor </w:t>
      </w:r>
      <w:r w:rsidRPr="0065481D">
        <w:rPr>
          <w:u w:val="single"/>
        </w:rPr>
        <w:t>must</w:t>
      </w:r>
      <w:r w:rsidRPr="0065481D">
        <w:t xml:space="preserve"> assess PCs 1-</w:t>
      </w:r>
      <w:r>
        <w:t>3 and 5-13</w:t>
      </w:r>
      <w:r w:rsidRPr="0065481D">
        <w:t xml:space="preserve"> by directly observing the candidate’s work.</w:t>
      </w:r>
    </w:p>
    <w:p w14:paraId="1E13606C" w14:textId="46900DC4" w:rsidR="000210DF" w:rsidRPr="002F201D" w:rsidRDefault="000210DF" w:rsidP="00895D98">
      <w:r w:rsidRPr="0065481D">
        <w:t>PC</w:t>
      </w:r>
      <w:r>
        <w:t>s 4 and 14</w:t>
      </w:r>
      <w:r w:rsidRPr="0065481D">
        <w:t xml:space="preserve"> may be assessed by alternative methods if observation is not possible.</w:t>
      </w:r>
    </w:p>
    <w:p w14:paraId="70ADA415" w14:textId="3E7C5B70" w:rsidR="006A25CE" w:rsidRDefault="006A25CE" w:rsidP="006A25CE">
      <w:pPr>
        <w:pStyle w:val="Numberedlistlevel1"/>
        <w:rPr>
          <w:lang w:bidi="ar-SA"/>
        </w:rPr>
      </w:pPr>
      <w:r w:rsidRPr="006A25CE">
        <w:rPr>
          <w:lang w:bidi="ar-SA"/>
        </w:rPr>
        <w:t>Ensure that the preparation area is clean, undamaged and ready for use</w:t>
      </w:r>
      <w:r>
        <w:rPr>
          <w:lang w:bidi="ar-SA"/>
        </w:rPr>
        <w:t xml:space="preserve"> </w:t>
      </w:r>
      <w:r w:rsidRPr="006A25CE">
        <w:rPr>
          <w:lang w:bidi="ar-SA"/>
        </w:rPr>
        <w:t>according to your workplace procedures</w:t>
      </w:r>
      <w:r w:rsidR="00F44F92">
        <w:rPr>
          <w:lang w:bidi="ar-SA"/>
        </w:rPr>
        <w:t>.</w:t>
      </w:r>
    </w:p>
    <w:p w14:paraId="1E50A629" w14:textId="43CCABD5" w:rsidR="006A25CE" w:rsidRDefault="006A25CE" w:rsidP="006A25CE">
      <w:pPr>
        <w:pStyle w:val="Numberedlistlevel1"/>
        <w:rPr>
          <w:lang w:bidi="ar-SA"/>
        </w:rPr>
      </w:pPr>
      <w:r w:rsidRPr="006A25CE">
        <w:rPr>
          <w:lang w:bidi="ar-SA"/>
        </w:rPr>
        <w:t>Ensure that the equipment</w:t>
      </w:r>
      <w:r>
        <w:rPr>
          <w:lang w:bidi="ar-SA"/>
        </w:rPr>
        <w:t xml:space="preserve"> </w:t>
      </w:r>
      <w:r w:rsidRPr="006A25CE">
        <w:rPr>
          <w:lang w:bidi="ar-SA"/>
        </w:rPr>
        <w:t>(including waste containers) is clean, appropriate for the task, undamaged,</w:t>
      </w:r>
      <w:r>
        <w:rPr>
          <w:lang w:bidi="ar-SA"/>
        </w:rPr>
        <w:t xml:space="preserve"> </w:t>
      </w:r>
      <w:r w:rsidRPr="006A25CE">
        <w:rPr>
          <w:lang w:bidi="ar-SA"/>
        </w:rPr>
        <w:t>where it should be and switched on ready for use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085B27A1" w14:textId="23703354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Check that the food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meets the dish, food safety and your workplace requirements regarding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quality, quantity and cooking requirements</w:t>
      </w:r>
    </w:p>
    <w:p w14:paraId="14A6B301" w14:textId="1DE8E38C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Deal correctly with any food that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does not meet requirements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3646E6CA" w14:textId="0A6E2B2F" w:rsidR="006A25CE" w:rsidRPr="006A25CE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Portion, pack and cover food correctly</w:t>
      </w:r>
      <w:r w:rsidR="00F44F92">
        <w:rPr>
          <w:lang w:bidi="ar-SA"/>
        </w:rPr>
        <w:t>.</w:t>
      </w:r>
    </w:p>
    <w:p w14:paraId="1194777C" w14:textId="3F7B5BD4" w:rsidR="0074578D" w:rsidRDefault="006A25CE" w:rsidP="006A25CE">
      <w:pPr>
        <w:pStyle w:val="Numberedlistlevel1"/>
        <w:rPr>
          <w:lang w:bidi="ar-SA"/>
        </w:rPr>
      </w:pPr>
      <w:r w:rsidRPr="006A25CE">
        <w:rPr>
          <w:lang w:bidi="ar-SA"/>
        </w:rPr>
        <w:t>Blast-chill food, seal and label it correctly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721EB32F" w14:textId="7A7E9EDE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Monitor and record food and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storage area temperatures accurately and according to food safety and your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workplace requirements</w:t>
      </w:r>
      <w:r w:rsidR="00F44F92">
        <w:rPr>
          <w:lang w:bidi="ar-SA"/>
        </w:rPr>
        <w:t>.</w:t>
      </w:r>
    </w:p>
    <w:p w14:paraId="12DE99AC" w14:textId="66A19618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Transport containers to the appropriate storage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areas in a safe and hygienic manner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250947A9" w14:textId="600802D7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Store cook-chill items at the correct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temperature and condition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1A1D84A8" w14:textId="08DE17DF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Follow stock rotation procedures correctly and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use stock in date order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0C41F9C5" w14:textId="4B46827A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Maintain accurate records of food items that are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received, stored and issued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238012DC" w14:textId="6B087290" w:rsidR="0074578D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>Handle food items correctly so that they</w:t>
      </w:r>
      <w:r w:rsidR="0074578D">
        <w:rPr>
          <w:lang w:bidi="ar-SA"/>
        </w:rPr>
        <w:t xml:space="preserve"> </w:t>
      </w:r>
      <w:r w:rsidRPr="006A25CE">
        <w:rPr>
          <w:lang w:bidi="ar-SA"/>
        </w:rPr>
        <w:t>remain undamaged</w:t>
      </w:r>
      <w:r w:rsidR="00F44F92">
        <w:rPr>
          <w:lang w:bidi="ar-SA"/>
        </w:rPr>
        <w:t>.</w:t>
      </w:r>
      <w:r w:rsidRPr="006A25CE">
        <w:rPr>
          <w:lang w:bidi="ar-SA"/>
        </w:rPr>
        <w:t xml:space="preserve"> </w:t>
      </w:r>
    </w:p>
    <w:p w14:paraId="3F3EE3F1" w14:textId="3E1FDBE6" w:rsidR="006A25CE" w:rsidRDefault="006A25CE" w:rsidP="0074578D">
      <w:pPr>
        <w:pStyle w:val="Numberedlistlevel1"/>
        <w:rPr>
          <w:lang w:bidi="ar-SA"/>
        </w:rPr>
      </w:pPr>
      <w:r w:rsidRPr="006A25CE">
        <w:rPr>
          <w:lang w:bidi="ar-SA"/>
        </w:rPr>
        <w:t xml:space="preserve">Secure storage areas against unauthorised </w:t>
      </w:r>
      <w:r>
        <w:rPr>
          <w:lang w:bidi="ar-SA"/>
        </w:rPr>
        <w:t>access</w:t>
      </w:r>
      <w:r w:rsidR="00F44F92">
        <w:rPr>
          <w:lang w:bidi="ar-SA"/>
        </w:rPr>
        <w:t>.</w:t>
      </w:r>
    </w:p>
    <w:p w14:paraId="69DE89DB" w14:textId="7330D6C9" w:rsidR="006A25CE" w:rsidRPr="006A25CE" w:rsidRDefault="006A25CE" w:rsidP="006A25CE">
      <w:pPr>
        <w:pStyle w:val="Numberedlistlevel1"/>
        <w:rPr>
          <w:lang w:bidi="ar-SA"/>
        </w:rPr>
      </w:pPr>
      <w:r w:rsidRPr="006A25CE">
        <w:rPr>
          <w:lang w:bidi="ar-SA"/>
        </w:rPr>
        <w:t>Report any problems that you identify promptly to the proper person</w:t>
      </w:r>
      <w:r w:rsidR="00F44F92">
        <w:rPr>
          <w:lang w:bidi="ar-SA"/>
        </w:rPr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A7B5FF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407A6902" w14:textId="77777777" w:rsidR="000F615B" w:rsidRDefault="000F615B" w:rsidP="00A54B42">
      <w:pPr>
        <w:pStyle w:val="Heading4"/>
        <w:rPr>
          <w:lang w:bidi="ar-SA"/>
        </w:rPr>
        <w:sectPr w:rsidR="000F615B" w:rsidSect="00707B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D30701">
      <w:pPr>
        <w:pStyle w:val="Heading4"/>
        <w:spacing w:after="180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440C3A29" w14:textId="77777777" w:rsidR="00F8407D" w:rsidRPr="008B5C01" w:rsidRDefault="00F8407D" w:rsidP="00D30701">
      <w:pPr>
        <w:spacing w:after="180"/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>
        <w:rPr>
          <w:bCs/>
        </w:rPr>
        <w:t xml:space="preserve"> </w:t>
      </w:r>
    </w:p>
    <w:p w14:paraId="24201096" w14:textId="609B5281" w:rsidR="00F8407D" w:rsidRDefault="00FA4ABC" w:rsidP="000F615B">
      <w:pPr>
        <w:pStyle w:val="Numberedlistlevel1"/>
        <w:numPr>
          <w:ilvl w:val="0"/>
          <w:numId w:val="8"/>
        </w:numPr>
        <w:spacing w:after="240" w:line="240" w:lineRule="auto"/>
        <w:ind w:left="425" w:hanging="425"/>
        <w:rPr>
          <w:lang w:bidi="ar-SA"/>
        </w:rPr>
      </w:pPr>
      <w:r>
        <w:rPr>
          <w:lang w:bidi="ar-SA"/>
        </w:rPr>
        <w:t>Food</w:t>
      </w:r>
      <w:r w:rsidRPr="00A64063">
        <w:rPr>
          <w:lang w:bidi="ar-SA"/>
        </w:rPr>
        <w:t xml:space="preserve"> – </w:t>
      </w:r>
      <w:r>
        <w:rPr>
          <w:lang w:bidi="ar-SA"/>
        </w:rPr>
        <w:t xml:space="preserve">four </w:t>
      </w:r>
      <w:r w:rsidRPr="00756648">
        <w:rPr>
          <w:b/>
          <w:bCs/>
          <w:lang w:bidi="ar-SA"/>
        </w:rPr>
        <w:t>from:</w:t>
      </w:r>
    </w:p>
    <w:p w14:paraId="7D290E39" w14:textId="2D4B2BAE" w:rsidR="00F8407D" w:rsidRDefault="00FA4ABC" w:rsidP="000F615B">
      <w:pPr>
        <w:pStyle w:val="Numberedlistlevel2"/>
        <w:numPr>
          <w:ilvl w:val="1"/>
          <w:numId w:val="8"/>
        </w:numPr>
        <w:ind w:left="993" w:hanging="568"/>
        <w:rPr>
          <w:bCs/>
        </w:rPr>
      </w:pPr>
      <w:r w:rsidRPr="008452EF">
        <w:rPr>
          <w:bCs/>
        </w:rPr>
        <w:t>meat dishes</w:t>
      </w:r>
    </w:p>
    <w:p w14:paraId="03173B50" w14:textId="045A8DCE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poultry dishes</w:t>
      </w:r>
    </w:p>
    <w:p w14:paraId="49743BD2" w14:textId="7F63082E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 xml:space="preserve">joints </w:t>
      </w:r>
      <w:r>
        <w:rPr>
          <w:bCs/>
        </w:rPr>
        <w:t>/</w:t>
      </w:r>
      <w:r w:rsidRPr="008452EF">
        <w:rPr>
          <w:bCs/>
        </w:rPr>
        <w:t xml:space="preserve"> whole birds</w:t>
      </w:r>
    </w:p>
    <w:p w14:paraId="6F22B705" w14:textId="6087FEBE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vegetables or fruits</w:t>
      </w:r>
    </w:p>
    <w:p w14:paraId="7E7D4DA0" w14:textId="0BFFC5E9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vegetable dishes</w:t>
      </w:r>
    </w:p>
    <w:p w14:paraId="0013FF07" w14:textId="48028B99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fish dishes</w:t>
      </w:r>
    </w:p>
    <w:p w14:paraId="6D1C9AD8" w14:textId="647CE217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sauces or soups</w:t>
      </w:r>
    </w:p>
    <w:p w14:paraId="3BD75D94" w14:textId="7E694EDB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egg dishes</w:t>
      </w:r>
    </w:p>
    <w:p w14:paraId="0DD02A2B" w14:textId="77777777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993" w:hanging="568"/>
        <w:contextualSpacing w:val="0"/>
      </w:pPr>
      <w:r w:rsidRPr="008452EF">
        <w:rPr>
          <w:bCs/>
        </w:rPr>
        <w:t>pasta dishes</w:t>
      </w:r>
    </w:p>
    <w:p w14:paraId="3628C3B3" w14:textId="3C11B16B" w:rsidR="00FA4ABC" w:rsidRPr="00FA4ABC" w:rsidRDefault="00FA4ABC" w:rsidP="000F615B">
      <w:pPr>
        <w:pStyle w:val="ListParagraph"/>
        <w:numPr>
          <w:ilvl w:val="1"/>
          <w:numId w:val="8"/>
        </w:numPr>
        <w:ind w:left="992" w:hanging="567"/>
        <w:contextualSpacing w:val="0"/>
      </w:pPr>
      <w:r w:rsidRPr="00FA4ABC">
        <w:rPr>
          <w:bCs/>
        </w:rPr>
        <w:t>desserts</w:t>
      </w:r>
    </w:p>
    <w:p w14:paraId="2FE8DBE3" w14:textId="5B8AC709" w:rsidR="00DE0FDA" w:rsidRPr="002C39FA" w:rsidRDefault="00F8407D" w:rsidP="00D30701">
      <w:pPr>
        <w:spacing w:after="180"/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  <w:r w:rsidR="00FA4ABC" w:rsidRPr="00FA4ABC">
        <w:t xml:space="preserve"> </w:t>
      </w:r>
      <w:r w:rsidR="00FA4ABC" w:rsidRPr="002C39FA">
        <w:t xml:space="preserve">In </w:t>
      </w:r>
      <w:proofErr w:type="gramStart"/>
      <w:r w:rsidR="00FA4ABC" w:rsidRPr="002C39FA">
        <w:t>addition</w:t>
      </w:r>
      <w:proofErr w:type="gramEnd"/>
      <w:r w:rsidR="00FA4ABC" w:rsidRPr="002C39FA">
        <w:t xml:space="preserve"> there should be performance evidence to demonstrate that the candidate can deal with the following</w:t>
      </w:r>
      <w:r w:rsidR="00FA4ABC">
        <w:t xml:space="preserve"> (a</w:t>
      </w:r>
      <w:r w:rsidR="00FA4ABC" w:rsidRPr="00BE155B">
        <w:t>lternative methods of assessment may be used if observation is not possible</w:t>
      </w:r>
      <w:r w:rsidR="00FA4ABC">
        <w:t>)</w:t>
      </w:r>
      <w:r w:rsidR="00FA4ABC" w:rsidRPr="002C39FA">
        <w:t>:</w:t>
      </w:r>
    </w:p>
    <w:p w14:paraId="6A70D651" w14:textId="4720E47A" w:rsidR="00FA4ABC" w:rsidRDefault="00FA4ABC" w:rsidP="000F615B">
      <w:pPr>
        <w:pStyle w:val="Numberedlistlevel1"/>
        <w:numPr>
          <w:ilvl w:val="0"/>
          <w:numId w:val="8"/>
        </w:numPr>
        <w:spacing w:after="240" w:line="240" w:lineRule="auto"/>
        <w:ind w:left="425" w:hanging="425"/>
        <w:rPr>
          <w:lang w:bidi="ar-SA"/>
        </w:rPr>
      </w:pPr>
      <w:r>
        <w:rPr>
          <w:lang w:bidi="ar-SA"/>
        </w:rPr>
        <w:t>Problems with</w:t>
      </w:r>
    </w:p>
    <w:p w14:paraId="05DAE05C" w14:textId="73199C28" w:rsidR="00FA4ABC" w:rsidRDefault="00FA4ABC" w:rsidP="000F615B">
      <w:pPr>
        <w:pStyle w:val="Numberedlistlevel2"/>
        <w:numPr>
          <w:ilvl w:val="1"/>
          <w:numId w:val="8"/>
        </w:numPr>
        <w:ind w:left="856" w:hanging="431"/>
        <w:rPr>
          <w:bCs/>
        </w:rPr>
      </w:pPr>
      <w:r>
        <w:rPr>
          <w:bCs/>
        </w:rPr>
        <w:t>equipment</w:t>
      </w:r>
    </w:p>
    <w:p w14:paraId="38DDD15C" w14:textId="52BBF358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856" w:hanging="431"/>
        <w:contextualSpacing w:val="0"/>
      </w:pPr>
      <w:r>
        <w:rPr>
          <w:bCs/>
        </w:rPr>
        <w:t>food</w:t>
      </w:r>
    </w:p>
    <w:p w14:paraId="30B58925" w14:textId="566E717E" w:rsidR="00FA4ABC" w:rsidRPr="00FA4ABC" w:rsidRDefault="00FA4ABC" w:rsidP="000F615B">
      <w:pPr>
        <w:pStyle w:val="ListParagraph"/>
        <w:numPr>
          <w:ilvl w:val="1"/>
          <w:numId w:val="8"/>
        </w:numPr>
        <w:spacing w:after="120"/>
        <w:ind w:left="856" w:hanging="431"/>
        <w:contextualSpacing w:val="0"/>
      </w:pPr>
      <w:r>
        <w:rPr>
          <w:bCs/>
        </w:rPr>
        <w:t>packaging</w:t>
      </w:r>
    </w:p>
    <w:p w14:paraId="2C3BCEF1" w14:textId="77777777" w:rsidR="00FA4ABC" w:rsidRDefault="00FA4ABC" w:rsidP="00F8407D">
      <w:pPr>
        <w:rPr>
          <w:lang w:bidi="ar-SA"/>
        </w:rPr>
        <w:sectPr w:rsidR="00FA4ABC" w:rsidSect="00707BE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1305BBC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349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42"/>
        <w:gridCol w:w="1070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  <w:gridCol w:w="511"/>
        <w:gridCol w:w="511"/>
        <w:gridCol w:w="511"/>
      </w:tblGrid>
      <w:tr w:rsidR="00C32BA1" w:rsidRPr="00CE1EFE" w14:paraId="1BA98472" w14:textId="77777777" w:rsidTr="00C32BA1">
        <w:trPr>
          <w:cantSplit/>
          <w:trHeight w:val="454"/>
          <w:tblHeader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1" w:type="dxa"/>
            <w:vAlign w:val="center"/>
          </w:tcPr>
          <w:p w14:paraId="5A5110E5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1" w:type="dxa"/>
            <w:vAlign w:val="center"/>
          </w:tcPr>
          <w:p w14:paraId="73021208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1" w:type="dxa"/>
            <w:vAlign w:val="center"/>
          </w:tcPr>
          <w:p w14:paraId="317AB757" w14:textId="77777777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1" w:type="dxa"/>
            <w:vAlign w:val="center"/>
          </w:tcPr>
          <w:p w14:paraId="4BD856F4" w14:textId="72869CCD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1" w:type="dxa"/>
            <w:vAlign w:val="center"/>
          </w:tcPr>
          <w:p w14:paraId="458C9A05" w14:textId="638B7ED1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1" w:type="dxa"/>
            <w:vAlign w:val="center"/>
          </w:tcPr>
          <w:p w14:paraId="3DFD8151" w14:textId="10582CB1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1" w:type="dxa"/>
            <w:vAlign w:val="center"/>
          </w:tcPr>
          <w:p w14:paraId="4156CF8D" w14:textId="049B9705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1" w:type="dxa"/>
            <w:vAlign w:val="center"/>
          </w:tcPr>
          <w:p w14:paraId="3A6526DF" w14:textId="3EA68BBB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82" w:type="dxa"/>
            <w:vAlign w:val="center"/>
          </w:tcPr>
          <w:p w14:paraId="5590F9E6" w14:textId="2A92B913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1" w:type="dxa"/>
            <w:vAlign w:val="center"/>
          </w:tcPr>
          <w:p w14:paraId="35CFD1EF" w14:textId="3C70F9FA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1" w:type="dxa"/>
            <w:vAlign w:val="center"/>
          </w:tcPr>
          <w:p w14:paraId="00B58E74" w14:textId="53F62CE1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1" w:type="dxa"/>
            <w:vAlign w:val="center"/>
          </w:tcPr>
          <w:p w14:paraId="50269656" w14:textId="2B84C659" w:rsidR="00C32BA1" w:rsidRPr="00CE1EFE" w:rsidRDefault="00C32BA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C32BA1" w:rsidRPr="00CE1EFE" w14:paraId="0397FF85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60DD8A2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C3C71BA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5E3D33A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02B05B3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D86959E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F26B653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B2D6597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79F5115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45F67CF4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C246CD1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C6F4F0A" w14:textId="77777777" w:rsidR="00C32BA1" w:rsidRPr="00086BF6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538068E" w14:textId="77777777" w:rsidR="00C32BA1" w:rsidRPr="00086BF6" w:rsidRDefault="00C32BA1" w:rsidP="00230C11">
            <w:pPr>
              <w:pStyle w:val="Tabletext"/>
            </w:pPr>
          </w:p>
        </w:tc>
      </w:tr>
      <w:tr w:rsidR="00C32BA1" w:rsidRPr="00CE1EFE" w14:paraId="5EA4D528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70C2D6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936CA7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6032A3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276CBF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27C33C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1DB19B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D76FCD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8CF93A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1E5F96A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424491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F157DF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68ED29C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60E23408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1A3012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571309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2627D8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77782D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EE3F65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A6DEE9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666531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E8F9E4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76B912A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50D048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F739F0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1A9F17F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0236656C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12E3EB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628C7D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586BF3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D62BD4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004494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F7AEAC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98D958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7AF4A7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4AC7B36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A3B6FC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53B356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B7D692B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4A47EB09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4B6B74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0A0D0D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477BA9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03E91E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B6F447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6A22B4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66379F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14BE37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0761E5B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1B6214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3286AE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09AEBC6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6A5C16F7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D6C55F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029EE9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3B21FC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37A96E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0FBBB7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45389C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3D8ED4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412DAA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025A7B0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42D9C6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4D5B00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4CEC526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1B80C9BA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5FAA52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B9DD28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0A37D3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B06479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AF6668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9C8C84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6B87C5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E8653E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124D469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999025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DFC93E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DC226BC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2F594F47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247562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5C1ECF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BAC99C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794E75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67B282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DC13C0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929F30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95C21E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4E8CE7F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EABDB2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2033AA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0ED6665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0E11E15B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6543CF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8B3C82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411E2F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D3C3DE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B1F6E2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FD2BB7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26DCB0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91176A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3E027CC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078C18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3A5CBA3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A81F365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4C96054B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2CA288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081034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067A4E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32DB77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BE414A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7F8AB4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9CF722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65AEDD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69639A1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D1A37C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1DB5ABC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734BF08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4B19DDC0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2D9119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C83F2B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D0441A9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757B3C1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A97D84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E508AC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2E911F0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2622AF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3B17D6B2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C9439B7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D76ED2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67502E7" w14:textId="77777777" w:rsidR="00C32BA1" w:rsidRPr="00CE1EFE" w:rsidRDefault="00C32BA1" w:rsidP="00230C11">
            <w:pPr>
              <w:pStyle w:val="Tabletext"/>
            </w:pPr>
          </w:p>
        </w:tc>
      </w:tr>
      <w:tr w:rsidR="00C32BA1" w:rsidRPr="00CE1EFE" w14:paraId="41E311AC" w14:textId="77777777" w:rsidTr="00C32BA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4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10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5ED1B5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743F72C8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4123651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5EA9FCB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1500E03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5DA5D9DF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EA41595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37DCB93D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82" w:type="dxa"/>
          </w:tcPr>
          <w:p w14:paraId="29BB3746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0E44314E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69242BA4" w14:textId="77777777" w:rsidR="00C32BA1" w:rsidRPr="00CE1EFE" w:rsidRDefault="00C32BA1" w:rsidP="00230C11">
            <w:pPr>
              <w:pStyle w:val="Tabletext"/>
            </w:pPr>
          </w:p>
        </w:tc>
        <w:tc>
          <w:tcPr>
            <w:tcW w:w="511" w:type="dxa"/>
          </w:tcPr>
          <w:p w14:paraId="2BAB1629" w14:textId="77777777" w:rsidR="00C32BA1" w:rsidRPr="00CE1EFE" w:rsidRDefault="00C32BA1" w:rsidP="00230C11">
            <w:pPr>
              <w:pStyle w:val="Tabletext"/>
            </w:pPr>
          </w:p>
        </w:tc>
      </w:tr>
    </w:tbl>
    <w:p w14:paraId="44095C40" w14:textId="5BEC4AFD" w:rsidR="00196ECB" w:rsidRDefault="00196ECB" w:rsidP="00C32BA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FBB6826" w:rsidR="009772AA" w:rsidRPr="00CE1EFE" w:rsidRDefault="00D518FD" w:rsidP="00D518FD">
            <w:pPr>
              <w:pStyle w:val="Tabletextnumbering"/>
              <w:numPr>
                <w:ilvl w:val="0"/>
                <w:numId w:val="9"/>
              </w:numPr>
            </w:pPr>
            <w:r w:rsidRPr="00D518FD">
              <w:t>Safe and hygienic working practices when portioning, packing and blast</w:t>
            </w:r>
            <w:r>
              <w:t>-</w:t>
            </w:r>
            <w:r w:rsidRPr="00D518FD">
              <w:t>chilling</w:t>
            </w:r>
            <w:r>
              <w:t xml:space="preserve"> </w:t>
            </w:r>
            <w:r w:rsidRPr="00D518FD">
              <w:t>food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3975C69" w:rsidR="009772AA" w:rsidRPr="00D518FD" w:rsidRDefault="00D518FD" w:rsidP="00D518F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D518FD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Why time and temperature </w:t>
            </w:r>
            <w:proofErr w:type="gramStart"/>
            <w:r w:rsidRPr="00D518FD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is</w:t>
            </w:r>
            <w:proofErr w:type="gramEnd"/>
            <w:r w:rsidRPr="00D518FD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important when producing cook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-</w:t>
            </w:r>
            <w:r w:rsidRPr="00D518FD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chill food</w:t>
            </w:r>
            <w:r w:rsidR="00F44F92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0C1037B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Why food containers must be sealed and labelled correctly before</w:t>
            </w:r>
            <w:r>
              <w:t xml:space="preserve"> </w:t>
            </w:r>
            <w:r w:rsidRPr="00D518FD">
              <w:t>storage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7AF6FA3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Why portions must be controlled when producing cook-chilled</w:t>
            </w:r>
            <w:r>
              <w:t xml:space="preserve"> </w:t>
            </w:r>
            <w:r w:rsidRPr="00D518FD">
              <w:t>foods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405A6D8C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What quality points to look for when portioning, packing and blast</w:t>
            </w:r>
            <w:r>
              <w:t>-</w:t>
            </w:r>
            <w:r w:rsidRPr="00D518FD">
              <w:t>chilling</w:t>
            </w:r>
            <w:r>
              <w:t xml:space="preserve"> </w:t>
            </w:r>
            <w:r w:rsidRPr="00D518FD">
              <w:t>food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09B9D8A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The types of problems that may occur when portioning,</w:t>
            </w:r>
            <w:r>
              <w:t xml:space="preserve"> </w:t>
            </w:r>
            <w:r w:rsidRPr="00D518FD">
              <w:t>packing, blast-chilling and storing cook-chilled food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CF797DE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Safe and hygienic</w:t>
            </w:r>
            <w:r>
              <w:t xml:space="preserve"> </w:t>
            </w:r>
            <w:r w:rsidRPr="00D518FD">
              <w:t>working practices when storing cook-chilled foods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189E63B" w:rsidR="009772AA" w:rsidRPr="00CE1EFE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Why it is important to</w:t>
            </w:r>
            <w:r>
              <w:t xml:space="preserve"> </w:t>
            </w:r>
            <w:r w:rsidRPr="00D518FD">
              <w:t>monitor and record food and storage temperatures regularly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8B8B04E" w:rsidR="009772AA" w:rsidRPr="00CE1EFE" w:rsidRDefault="00D518FD" w:rsidP="000F615B">
            <w:pPr>
              <w:pStyle w:val="Tabletext"/>
              <w:numPr>
                <w:ilvl w:val="0"/>
                <w:numId w:val="9"/>
              </w:numPr>
            </w:pPr>
            <w:r w:rsidRPr="00D518FD">
              <w:t>Why stock</w:t>
            </w:r>
            <w:r>
              <w:t xml:space="preserve"> </w:t>
            </w:r>
            <w:r w:rsidRPr="00D518FD">
              <w:t>rotation procedures must be followe</w:t>
            </w:r>
            <w:r w:rsidR="00F44F92">
              <w:t>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D518FD" w:rsidRPr="00CE1EFE" w14:paraId="3CCCAB32" w14:textId="77777777" w:rsidTr="00093275">
        <w:trPr>
          <w:cantSplit/>
          <w:trHeight w:val="454"/>
        </w:trPr>
        <w:tc>
          <w:tcPr>
            <w:tcW w:w="11482" w:type="dxa"/>
          </w:tcPr>
          <w:p w14:paraId="4CE31FC5" w14:textId="6A4EEE9F" w:rsidR="00D518FD" w:rsidRPr="00D518FD" w:rsidRDefault="00D518FD" w:rsidP="00D518FD">
            <w:pPr>
              <w:pStyle w:val="Tabletext"/>
              <w:numPr>
                <w:ilvl w:val="0"/>
                <w:numId w:val="9"/>
              </w:numPr>
            </w:pPr>
            <w:r w:rsidRPr="00D518FD">
              <w:t>Why storage areas should be</w:t>
            </w:r>
            <w:r>
              <w:t xml:space="preserve"> </w:t>
            </w:r>
            <w:r w:rsidRPr="00D518FD">
              <w:t>secured from unauthorised access</w:t>
            </w:r>
            <w:r w:rsidR="00F44F9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6943F" w14:textId="77777777" w:rsidR="00D518FD" w:rsidRPr="00CE1EFE" w:rsidRDefault="00D518FD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1F9E5" w14:textId="77777777" w:rsidR="00D518FD" w:rsidRPr="00CE1EFE" w:rsidRDefault="00D518FD" w:rsidP="00F85875">
            <w:pPr>
              <w:pStyle w:val="Tabletext"/>
            </w:pPr>
          </w:p>
        </w:tc>
      </w:tr>
    </w:tbl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5BF07A7" w:rsidR="007C2206" w:rsidRPr="007F19F4" w:rsidRDefault="0037050D" w:rsidP="00542753">
    <w:pPr>
      <w:pStyle w:val="Footer"/>
      <w:pBdr>
        <w:top w:val="single" w:sz="4" w:space="1" w:color="auto"/>
      </w:pBdr>
    </w:pPr>
    <w:r w:rsidRPr="0037050D">
      <w:t>PPL2PRD5</w:t>
    </w:r>
    <w:r w:rsidR="009C296C" w:rsidRPr="00EC3E42">
      <w:t xml:space="preserve"> (</w:t>
    </w:r>
    <w:r w:rsidR="00707BED">
      <w:t>J8K5 04</w:t>
    </w:r>
    <w:r w:rsidR="009C296C" w:rsidRPr="00EC3E42">
      <w:t xml:space="preserve">) </w:t>
    </w:r>
    <w:r>
      <w:t>Cook</w:t>
    </w:r>
    <w:r w:rsidR="004701FD">
      <w:t>-</w:t>
    </w:r>
    <w:r>
      <w:t>Chilled Food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6FF0D06"/>
    <w:multiLevelType w:val="hybridMultilevel"/>
    <w:tmpl w:val="9DB6F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C036AE"/>
    <w:multiLevelType w:val="hybridMultilevel"/>
    <w:tmpl w:val="9DB6F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7416737">
    <w:abstractNumId w:val="2"/>
  </w:num>
  <w:num w:numId="10" w16cid:durableId="181629710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10DF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1DC5"/>
    <w:rsid w:val="00074A79"/>
    <w:rsid w:val="00084ADE"/>
    <w:rsid w:val="000878F9"/>
    <w:rsid w:val="00093275"/>
    <w:rsid w:val="000C7741"/>
    <w:rsid w:val="000E2EEB"/>
    <w:rsid w:val="000F1925"/>
    <w:rsid w:val="000F615B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A24D8"/>
    <w:rsid w:val="001B587D"/>
    <w:rsid w:val="001B7FB8"/>
    <w:rsid w:val="001C6E7B"/>
    <w:rsid w:val="001C7A60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A57E6"/>
    <w:rsid w:val="002D3C53"/>
    <w:rsid w:val="002D7CD8"/>
    <w:rsid w:val="002E0C3A"/>
    <w:rsid w:val="002E56BD"/>
    <w:rsid w:val="002F201D"/>
    <w:rsid w:val="002F75FB"/>
    <w:rsid w:val="00302770"/>
    <w:rsid w:val="003257BF"/>
    <w:rsid w:val="0033269B"/>
    <w:rsid w:val="00337168"/>
    <w:rsid w:val="003416B7"/>
    <w:rsid w:val="00353085"/>
    <w:rsid w:val="00356F12"/>
    <w:rsid w:val="003611D7"/>
    <w:rsid w:val="003704F6"/>
    <w:rsid w:val="0037050D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15AC3"/>
    <w:rsid w:val="00422479"/>
    <w:rsid w:val="00455B8C"/>
    <w:rsid w:val="00461DA8"/>
    <w:rsid w:val="00463972"/>
    <w:rsid w:val="0046782E"/>
    <w:rsid w:val="004701FD"/>
    <w:rsid w:val="00473159"/>
    <w:rsid w:val="00475780"/>
    <w:rsid w:val="00475E51"/>
    <w:rsid w:val="00476A4B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0E9F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2D45"/>
    <w:rsid w:val="00581126"/>
    <w:rsid w:val="00586537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6063"/>
    <w:rsid w:val="0064705B"/>
    <w:rsid w:val="00652C4D"/>
    <w:rsid w:val="006532DA"/>
    <w:rsid w:val="00657B7D"/>
    <w:rsid w:val="00663741"/>
    <w:rsid w:val="00664F65"/>
    <w:rsid w:val="00673A38"/>
    <w:rsid w:val="00682AED"/>
    <w:rsid w:val="006A25CE"/>
    <w:rsid w:val="006A6609"/>
    <w:rsid w:val="006A6938"/>
    <w:rsid w:val="006A74C8"/>
    <w:rsid w:val="006B2AE4"/>
    <w:rsid w:val="006B73D3"/>
    <w:rsid w:val="006D4B85"/>
    <w:rsid w:val="006E19E0"/>
    <w:rsid w:val="006E3028"/>
    <w:rsid w:val="006F76E2"/>
    <w:rsid w:val="00702172"/>
    <w:rsid w:val="00703F1C"/>
    <w:rsid w:val="00705563"/>
    <w:rsid w:val="00707054"/>
    <w:rsid w:val="007074A2"/>
    <w:rsid w:val="00707BED"/>
    <w:rsid w:val="00712754"/>
    <w:rsid w:val="0071450F"/>
    <w:rsid w:val="007158CB"/>
    <w:rsid w:val="00717148"/>
    <w:rsid w:val="00717DB3"/>
    <w:rsid w:val="007339BA"/>
    <w:rsid w:val="00735216"/>
    <w:rsid w:val="007415CC"/>
    <w:rsid w:val="0074578D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54B42"/>
    <w:rsid w:val="00A61A20"/>
    <w:rsid w:val="00A73BB7"/>
    <w:rsid w:val="00A76ACC"/>
    <w:rsid w:val="00A82F91"/>
    <w:rsid w:val="00A83A39"/>
    <w:rsid w:val="00A92DA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07ED1"/>
    <w:rsid w:val="00B17D58"/>
    <w:rsid w:val="00B35460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32BA1"/>
    <w:rsid w:val="00C45EDC"/>
    <w:rsid w:val="00C570C6"/>
    <w:rsid w:val="00C6719C"/>
    <w:rsid w:val="00C728C8"/>
    <w:rsid w:val="00C83814"/>
    <w:rsid w:val="00C84D32"/>
    <w:rsid w:val="00CA0D17"/>
    <w:rsid w:val="00CB4EC1"/>
    <w:rsid w:val="00CC5096"/>
    <w:rsid w:val="00CD1F8C"/>
    <w:rsid w:val="00CE1EFE"/>
    <w:rsid w:val="00CE5489"/>
    <w:rsid w:val="00CF1F4A"/>
    <w:rsid w:val="00CF258A"/>
    <w:rsid w:val="00D20432"/>
    <w:rsid w:val="00D26563"/>
    <w:rsid w:val="00D30701"/>
    <w:rsid w:val="00D43CBC"/>
    <w:rsid w:val="00D516B1"/>
    <w:rsid w:val="00D518FD"/>
    <w:rsid w:val="00D554F8"/>
    <w:rsid w:val="00D744DF"/>
    <w:rsid w:val="00D93027"/>
    <w:rsid w:val="00D956C1"/>
    <w:rsid w:val="00DC1834"/>
    <w:rsid w:val="00DD1E86"/>
    <w:rsid w:val="00DD3C8F"/>
    <w:rsid w:val="00DD4B65"/>
    <w:rsid w:val="00DE0FDA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77BC"/>
    <w:rsid w:val="00F03F59"/>
    <w:rsid w:val="00F04E83"/>
    <w:rsid w:val="00F11177"/>
    <w:rsid w:val="00F1158C"/>
    <w:rsid w:val="00F27308"/>
    <w:rsid w:val="00F27323"/>
    <w:rsid w:val="00F3442C"/>
    <w:rsid w:val="00F36B88"/>
    <w:rsid w:val="00F44F92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407D"/>
    <w:rsid w:val="00F86058"/>
    <w:rsid w:val="00F872DE"/>
    <w:rsid w:val="00F9054E"/>
    <w:rsid w:val="00F91FAF"/>
    <w:rsid w:val="00F96698"/>
    <w:rsid w:val="00F976DE"/>
    <w:rsid w:val="00F97A5C"/>
    <w:rsid w:val="00FA27D1"/>
    <w:rsid w:val="00FA4152"/>
    <w:rsid w:val="00FA4ABC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5B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0F615B"/>
    <w:pPr>
      <w:tabs>
        <w:tab w:val="left" w:pos="425"/>
        <w:tab w:val="left" w:pos="1701"/>
      </w:tabs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48</cp:revision>
  <cp:lastPrinted>2017-03-28T15:41:00Z</cp:lastPrinted>
  <dcterms:created xsi:type="dcterms:W3CDTF">2024-08-15T14:19:00Z</dcterms:created>
  <dcterms:modified xsi:type="dcterms:W3CDTF">2024-10-28T12:47:00Z</dcterms:modified>
</cp:coreProperties>
</file>