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D852" w14:textId="77777777" w:rsidR="00923594" w:rsidRDefault="00923594" w:rsidP="00923594">
      <w:pPr>
        <w:pStyle w:val="Heading2"/>
        <w:jc w:val="right"/>
      </w:pPr>
      <w:r w:rsidRPr="00590DC4">
        <w:rPr>
          <w:noProof/>
          <w:lang w:eastAsia="zh-CN"/>
        </w:rPr>
        <w:drawing>
          <wp:inline distT="0" distB="0" distL="0" distR="0" wp14:anchorId="59015C54" wp14:editId="243FFA67">
            <wp:extent cx="1791335" cy="95186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7"/>
        <w:gridCol w:w="7149"/>
      </w:tblGrid>
      <w:tr w:rsidR="00923594" w14:paraId="081174DE" w14:textId="77777777" w:rsidTr="00407D74">
        <w:tc>
          <w:tcPr>
            <w:tcW w:w="1914" w:type="dxa"/>
            <w:shd w:val="clear" w:color="auto" w:fill="auto"/>
          </w:tcPr>
          <w:p w14:paraId="4D10A166" w14:textId="3DA9012C" w:rsidR="00923594" w:rsidRDefault="007A212B" w:rsidP="00407D74">
            <w:pPr>
              <w:pStyle w:val="GACode"/>
            </w:pPr>
            <w:r>
              <w:t>GV1R 22</w:t>
            </w:r>
          </w:p>
        </w:tc>
        <w:tc>
          <w:tcPr>
            <w:tcW w:w="7372" w:type="dxa"/>
            <w:shd w:val="clear" w:color="auto" w:fill="auto"/>
          </w:tcPr>
          <w:p w14:paraId="120C9735" w14:textId="1FFB753F" w:rsidR="00923594" w:rsidRPr="0027137D" w:rsidRDefault="00F327C3" w:rsidP="00407D74">
            <w:pPr>
              <w:pStyle w:val="GATitle"/>
              <w:rPr>
                <w:rFonts w:eastAsia="Times New Roman"/>
                <w:lang w:eastAsia="en-GB"/>
              </w:rPr>
            </w:pPr>
            <w:r>
              <w:t xml:space="preserve">SVQ in </w:t>
            </w:r>
            <w:proofErr w:type="spellStart"/>
            <w:r>
              <w:t>Steelfixing</w:t>
            </w:r>
            <w:proofErr w:type="spellEnd"/>
            <w:r>
              <w:t xml:space="preserve"> Occupations (Construction) at SCQF level 5</w:t>
            </w:r>
          </w:p>
        </w:tc>
      </w:tr>
    </w:tbl>
    <w:p w14:paraId="20BD2D5C" w14:textId="77777777" w:rsidR="00923594" w:rsidRDefault="00923594" w:rsidP="00923594"/>
    <w:p w14:paraId="573664DA" w14:textId="77777777" w:rsidR="00923594" w:rsidRDefault="00923594" w:rsidP="009235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23594" w:rsidRPr="00EB4806" w14:paraId="17082B60" w14:textId="77777777" w:rsidTr="00407D74">
        <w:tc>
          <w:tcPr>
            <w:tcW w:w="9242" w:type="dxa"/>
            <w:shd w:val="clear" w:color="auto" w:fill="C6D9F1"/>
          </w:tcPr>
          <w:p w14:paraId="5CC7D6DC" w14:textId="77777777" w:rsidR="00923594" w:rsidRDefault="00923594" w:rsidP="00407D74">
            <w:pPr>
              <w:rPr>
                <w:rFonts w:cs="Arial"/>
              </w:rPr>
            </w:pPr>
          </w:p>
          <w:p w14:paraId="798AA3B0" w14:textId="4AFE77D1" w:rsidR="00923594" w:rsidRDefault="00923594" w:rsidP="00407D74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>
              <w:rPr>
                <w:rFonts w:cs="Arial"/>
              </w:rPr>
              <w:t xml:space="preserve">ation candidates must complete </w:t>
            </w:r>
            <w:r w:rsidR="00F327C3">
              <w:rPr>
                <w:rFonts w:cs="Arial"/>
              </w:rPr>
              <w:t>five</w:t>
            </w:r>
            <w:r>
              <w:rPr>
                <w:rFonts w:cs="Arial"/>
              </w:rPr>
              <w:t xml:space="preserve"> units</w:t>
            </w:r>
            <w:r w:rsidRPr="006E73D0">
              <w:rPr>
                <w:rFonts w:cs="Arial"/>
              </w:rPr>
              <w:t xml:space="preserve"> in tota</w:t>
            </w:r>
            <w:r>
              <w:rPr>
                <w:rFonts w:cs="Arial"/>
              </w:rPr>
              <w:t>l</w:t>
            </w:r>
            <w:r w:rsidRPr="006E73D0">
              <w:rPr>
                <w:rFonts w:cs="Arial"/>
              </w:rPr>
              <w:t>. This comprises:</w:t>
            </w:r>
          </w:p>
          <w:p w14:paraId="56B69B1C" w14:textId="77777777" w:rsidR="00923594" w:rsidRPr="006E73D0" w:rsidRDefault="00923594" w:rsidP="00407D74">
            <w:pPr>
              <w:rPr>
                <w:rFonts w:cs="Arial"/>
              </w:rPr>
            </w:pPr>
          </w:p>
          <w:p w14:paraId="0536B859" w14:textId="00EC0477" w:rsidR="00923594" w:rsidRDefault="00F327C3" w:rsidP="00407D74">
            <w:pPr>
              <w:pStyle w:val="bullet"/>
            </w:pPr>
            <w:r>
              <w:t xml:space="preserve">three </w:t>
            </w:r>
            <w:r w:rsidR="009C4A9E">
              <w:t>mandatory units</w:t>
            </w:r>
            <w:r w:rsidR="00923594">
              <w:t xml:space="preserve"> </w:t>
            </w:r>
          </w:p>
          <w:p w14:paraId="708F8C19" w14:textId="0ED6453C" w:rsidR="00F675AA" w:rsidRDefault="000626BA" w:rsidP="00407D74">
            <w:pPr>
              <w:pStyle w:val="bullet"/>
            </w:pPr>
            <w:r>
              <w:t>t</w:t>
            </w:r>
            <w:r w:rsidR="00F327C3">
              <w:t>wo</w:t>
            </w:r>
            <w:r w:rsidR="00F675AA">
              <w:t xml:space="preserve"> optional units</w:t>
            </w:r>
          </w:p>
          <w:p w14:paraId="1F4AEA0D" w14:textId="77777777" w:rsidR="00923594" w:rsidRDefault="00923594" w:rsidP="00407D74">
            <w:pPr>
              <w:pStyle w:val="bullet"/>
              <w:numPr>
                <w:ilvl w:val="0"/>
                <w:numId w:val="0"/>
              </w:numPr>
              <w:ind w:left="425" w:hanging="425"/>
            </w:pPr>
          </w:p>
          <w:p w14:paraId="1801C5A6" w14:textId="77777777" w:rsidR="00923594" w:rsidRPr="00EB4806" w:rsidRDefault="00923594" w:rsidP="00407D74">
            <w:pPr>
              <w:pStyle w:val="bullet"/>
              <w:numPr>
                <w:ilvl w:val="0"/>
                <w:numId w:val="0"/>
              </w:numPr>
              <w:ind w:left="425" w:hanging="425"/>
            </w:pPr>
          </w:p>
        </w:tc>
      </w:tr>
    </w:tbl>
    <w:p w14:paraId="2F74D2F3" w14:textId="77777777" w:rsidR="00923594" w:rsidRDefault="00923594" w:rsidP="00923594">
      <w:pPr>
        <w:rPr>
          <w:lang w:val="en-US"/>
        </w:rPr>
      </w:pPr>
    </w:p>
    <w:p w14:paraId="2FCD7C49" w14:textId="77777777" w:rsidR="00923594" w:rsidRDefault="00923594" w:rsidP="00923594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7925C559" w14:textId="77777777" w:rsidR="00923594" w:rsidRDefault="00923594" w:rsidP="00923594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</w:tblGrid>
      <w:tr w:rsidR="009C4A9E" w:rsidRPr="00EB4806" w14:paraId="0E601599" w14:textId="77777777" w:rsidTr="00772E40">
        <w:trPr>
          <w:trHeight w:val="340"/>
        </w:trPr>
        <w:tc>
          <w:tcPr>
            <w:tcW w:w="9918" w:type="dxa"/>
            <w:gridSpan w:val="6"/>
            <w:vAlign w:val="center"/>
          </w:tcPr>
          <w:p w14:paraId="5BCE24A1" w14:textId="0A220EAA" w:rsidR="009C4A9E" w:rsidRDefault="009C4A9E" w:rsidP="00772E40">
            <w:pPr>
              <w:pStyle w:val="TableheadingLeft"/>
            </w:pPr>
            <w:r>
              <w:t xml:space="preserve">Mandatory units: Learners must complete </w:t>
            </w:r>
            <w:r w:rsidR="007076FF">
              <w:t>three</w:t>
            </w:r>
            <w:r>
              <w:t xml:space="preserve"> mandatory units</w:t>
            </w:r>
          </w:p>
        </w:tc>
      </w:tr>
      <w:tr w:rsidR="009C4A9E" w:rsidRPr="00EB4806" w14:paraId="66F1B9A4" w14:textId="77777777" w:rsidTr="00D427E0">
        <w:trPr>
          <w:trHeight w:val="454"/>
        </w:trPr>
        <w:tc>
          <w:tcPr>
            <w:tcW w:w="1271" w:type="dxa"/>
            <w:vAlign w:val="center"/>
          </w:tcPr>
          <w:p w14:paraId="172951A5" w14:textId="77777777" w:rsidR="009C4A9E" w:rsidRPr="00EB4806" w:rsidRDefault="009C4A9E" w:rsidP="00772E40">
            <w:pPr>
              <w:pStyle w:val="TableheadingLeft"/>
            </w:pPr>
            <w:r w:rsidRPr="00EB4806">
              <w:t>SQA code</w:t>
            </w:r>
          </w:p>
        </w:tc>
        <w:tc>
          <w:tcPr>
            <w:tcW w:w="1701" w:type="dxa"/>
            <w:vAlign w:val="center"/>
          </w:tcPr>
          <w:p w14:paraId="272DF039" w14:textId="77777777" w:rsidR="009C4A9E" w:rsidRPr="00EB4806" w:rsidRDefault="009C4A9E" w:rsidP="00772E40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111" w:type="dxa"/>
            <w:vAlign w:val="center"/>
          </w:tcPr>
          <w:p w14:paraId="286586E9" w14:textId="77777777" w:rsidR="009C4A9E" w:rsidRPr="00EB4806" w:rsidRDefault="009C4A9E" w:rsidP="00772E40">
            <w:pPr>
              <w:pStyle w:val="TableheadingLeft"/>
            </w:pPr>
            <w:r w:rsidRPr="00EB4806">
              <w:t>Title</w:t>
            </w:r>
          </w:p>
        </w:tc>
        <w:tc>
          <w:tcPr>
            <w:tcW w:w="850" w:type="dxa"/>
            <w:vAlign w:val="center"/>
          </w:tcPr>
          <w:p w14:paraId="59F56811" w14:textId="77777777" w:rsidR="009C4A9E" w:rsidRPr="00EB4806" w:rsidRDefault="009C4A9E" w:rsidP="00772E40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93" w:type="dxa"/>
            <w:vAlign w:val="center"/>
          </w:tcPr>
          <w:p w14:paraId="36A642B2" w14:textId="77777777" w:rsidR="009C4A9E" w:rsidRPr="00EB4806" w:rsidRDefault="009C4A9E" w:rsidP="00772E40">
            <w:pPr>
              <w:pStyle w:val="Tableheadingcentred"/>
            </w:pPr>
            <w:r w:rsidRPr="00EB4806">
              <w:t>SCQF credits</w:t>
            </w:r>
          </w:p>
        </w:tc>
        <w:tc>
          <w:tcPr>
            <w:tcW w:w="992" w:type="dxa"/>
          </w:tcPr>
          <w:p w14:paraId="23597D6F" w14:textId="77777777" w:rsidR="009C4A9E" w:rsidRDefault="009C4A9E" w:rsidP="00772E40">
            <w:pPr>
              <w:pStyle w:val="Tableheadingcentred"/>
            </w:pPr>
            <w:r w:rsidRPr="00EB4806">
              <w:t>SQ</w:t>
            </w:r>
            <w:r>
              <w:t>A</w:t>
            </w:r>
          </w:p>
          <w:p w14:paraId="3B2DCBD7" w14:textId="77777777" w:rsidR="009C4A9E" w:rsidRPr="00EB4806" w:rsidRDefault="009C4A9E" w:rsidP="00772E40">
            <w:pPr>
              <w:pStyle w:val="Tableheadingcentred"/>
            </w:pPr>
            <w:r w:rsidRPr="00EB4806">
              <w:t>credits</w:t>
            </w:r>
          </w:p>
        </w:tc>
      </w:tr>
      <w:tr w:rsidR="00F675AA" w:rsidRPr="00EB4806" w14:paraId="6A049748" w14:textId="77777777" w:rsidTr="00DE1D8E">
        <w:trPr>
          <w:trHeight w:val="454"/>
        </w:trPr>
        <w:tc>
          <w:tcPr>
            <w:tcW w:w="1271" w:type="dxa"/>
          </w:tcPr>
          <w:p w14:paraId="3EBE95AD" w14:textId="77777777" w:rsidR="00F675AA" w:rsidRPr="008E74EA" w:rsidRDefault="00F675AA" w:rsidP="004D5644">
            <w:pPr>
              <w:pStyle w:val="tabletextleft"/>
            </w:pPr>
            <w:r>
              <w:t>HL7R 04</w:t>
            </w:r>
          </w:p>
        </w:tc>
        <w:tc>
          <w:tcPr>
            <w:tcW w:w="1701" w:type="dxa"/>
          </w:tcPr>
          <w:p w14:paraId="3080DF4C" w14:textId="77777777" w:rsidR="00F675AA" w:rsidRDefault="00F675AA" w:rsidP="004D5644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4E60DA">
              <w:rPr>
                <w:rFonts w:eastAsia="Times New Roman" w:cs="Arial"/>
                <w:color w:val="000000"/>
                <w:lang w:eastAsia="en-GB"/>
              </w:rPr>
              <w:t>COSVR641v2</w:t>
            </w:r>
          </w:p>
          <w:p w14:paraId="5B032B18" w14:textId="77777777" w:rsidR="00F675AA" w:rsidRPr="00044D37" w:rsidRDefault="00F675AA" w:rsidP="004D5644">
            <w:pPr>
              <w:pStyle w:val="tabletextleft"/>
            </w:pPr>
          </w:p>
        </w:tc>
        <w:tc>
          <w:tcPr>
            <w:tcW w:w="4111" w:type="dxa"/>
          </w:tcPr>
          <w:p w14:paraId="2399124F" w14:textId="77777777" w:rsidR="00F675AA" w:rsidRPr="0098535F" w:rsidRDefault="00F675AA" w:rsidP="004D5644">
            <w:pPr>
              <w:pStyle w:val="tabletextleft"/>
            </w:pPr>
            <w:r w:rsidRPr="004E60DA">
              <w:rPr>
                <w:rFonts w:cs="Arial"/>
                <w:color w:val="000000"/>
                <w:lang w:eastAsia="en-GB"/>
              </w:rPr>
              <w:t xml:space="preserve">Conform to </w:t>
            </w:r>
            <w:r>
              <w:rPr>
                <w:rFonts w:cs="Arial"/>
                <w:color w:val="000000"/>
                <w:lang w:eastAsia="en-GB"/>
              </w:rPr>
              <w:t>G</w:t>
            </w:r>
            <w:r w:rsidRPr="004E60DA">
              <w:rPr>
                <w:rFonts w:cs="Arial"/>
                <w:color w:val="000000"/>
                <w:lang w:eastAsia="en-GB"/>
              </w:rPr>
              <w:t xml:space="preserve">eneral </w:t>
            </w:r>
            <w:r>
              <w:rPr>
                <w:rFonts w:cs="Arial"/>
                <w:color w:val="000000"/>
                <w:lang w:eastAsia="en-GB"/>
              </w:rPr>
              <w:t>W</w:t>
            </w:r>
            <w:r w:rsidRPr="004E60DA">
              <w:rPr>
                <w:rFonts w:cs="Arial"/>
                <w:color w:val="000000"/>
                <w:lang w:eastAsia="en-GB"/>
              </w:rPr>
              <w:t xml:space="preserve">orkplace </w:t>
            </w:r>
            <w:r>
              <w:rPr>
                <w:rFonts w:cs="Arial"/>
                <w:color w:val="000000"/>
                <w:lang w:eastAsia="en-GB"/>
              </w:rPr>
              <w:t>H</w:t>
            </w:r>
            <w:r w:rsidRPr="004E60DA">
              <w:rPr>
                <w:rFonts w:cs="Arial"/>
                <w:color w:val="000000"/>
                <w:lang w:eastAsia="en-GB"/>
              </w:rPr>
              <w:t xml:space="preserve">ealth, </w:t>
            </w:r>
            <w:r>
              <w:rPr>
                <w:rFonts w:cs="Arial"/>
                <w:color w:val="000000"/>
                <w:lang w:eastAsia="en-GB"/>
              </w:rPr>
              <w:t>S</w:t>
            </w:r>
            <w:r w:rsidRPr="004E60DA">
              <w:rPr>
                <w:rFonts w:cs="Arial"/>
                <w:color w:val="000000"/>
                <w:lang w:eastAsia="en-GB"/>
              </w:rPr>
              <w:t xml:space="preserve">afety and </w:t>
            </w:r>
            <w:r>
              <w:rPr>
                <w:rFonts w:cs="Arial"/>
                <w:color w:val="000000"/>
                <w:lang w:eastAsia="en-GB"/>
              </w:rPr>
              <w:t>W</w:t>
            </w:r>
            <w:r w:rsidRPr="004E60DA">
              <w:rPr>
                <w:rFonts w:cs="Arial"/>
                <w:color w:val="000000"/>
                <w:lang w:eastAsia="en-GB"/>
              </w:rPr>
              <w:t>elfare</w:t>
            </w:r>
          </w:p>
        </w:tc>
        <w:tc>
          <w:tcPr>
            <w:tcW w:w="850" w:type="dxa"/>
          </w:tcPr>
          <w:p w14:paraId="42602B54" w14:textId="77777777" w:rsidR="00F675AA" w:rsidRPr="00044D37" w:rsidRDefault="00F675AA" w:rsidP="004D5644">
            <w:pPr>
              <w:pStyle w:val="tabletextcentred"/>
            </w:pPr>
            <w:r>
              <w:rPr>
                <w:color w:val="000000"/>
              </w:rPr>
              <w:t>6</w:t>
            </w:r>
          </w:p>
        </w:tc>
        <w:tc>
          <w:tcPr>
            <w:tcW w:w="993" w:type="dxa"/>
          </w:tcPr>
          <w:p w14:paraId="7E6B0C0E" w14:textId="77777777" w:rsidR="00F675AA" w:rsidRPr="00044D37" w:rsidRDefault="00F675AA" w:rsidP="004D5644">
            <w:pPr>
              <w:pStyle w:val="tabletextcentred"/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</w:tcPr>
          <w:p w14:paraId="6BBA6D6B" w14:textId="79CE2EE1" w:rsidR="00F675AA" w:rsidRPr="00C774A8" w:rsidRDefault="00F675AA" w:rsidP="00AF4FBF">
            <w:pPr>
              <w:pStyle w:val="tabletextcentred"/>
              <w:rPr>
                <w:color w:val="000000"/>
              </w:rPr>
            </w:pPr>
            <w:r w:rsidRPr="00C774A8">
              <w:rPr>
                <w:color w:val="000000"/>
              </w:rPr>
              <w:t>1</w:t>
            </w:r>
          </w:p>
        </w:tc>
      </w:tr>
      <w:tr w:rsidR="00C774A8" w:rsidRPr="00EB4806" w14:paraId="5118D131" w14:textId="77777777" w:rsidTr="00DE1D8E">
        <w:trPr>
          <w:trHeight w:val="454"/>
        </w:trPr>
        <w:tc>
          <w:tcPr>
            <w:tcW w:w="1271" w:type="dxa"/>
          </w:tcPr>
          <w:p w14:paraId="4D2C9746" w14:textId="77777777" w:rsidR="00C774A8" w:rsidRPr="008E74EA" w:rsidRDefault="00C774A8" w:rsidP="00C774A8">
            <w:pPr>
              <w:pStyle w:val="tabletextleft"/>
            </w:pPr>
            <w:r>
              <w:t>HL7T 04</w:t>
            </w:r>
          </w:p>
        </w:tc>
        <w:tc>
          <w:tcPr>
            <w:tcW w:w="1701" w:type="dxa"/>
          </w:tcPr>
          <w:p w14:paraId="42B42468" w14:textId="77777777" w:rsidR="00C774A8" w:rsidRPr="004E60DA" w:rsidRDefault="00C774A8" w:rsidP="00C774A8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COSVR642v1</w:t>
            </w:r>
          </w:p>
        </w:tc>
        <w:tc>
          <w:tcPr>
            <w:tcW w:w="4111" w:type="dxa"/>
          </w:tcPr>
          <w:p w14:paraId="13E58AAB" w14:textId="77777777" w:rsidR="00C774A8" w:rsidRPr="004E60DA" w:rsidRDefault="00C774A8" w:rsidP="00C774A8">
            <w:pPr>
              <w:pStyle w:val="tabletextlef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Conform to Productive Work Practices</w:t>
            </w:r>
          </w:p>
        </w:tc>
        <w:tc>
          <w:tcPr>
            <w:tcW w:w="850" w:type="dxa"/>
          </w:tcPr>
          <w:p w14:paraId="68057046" w14:textId="77777777" w:rsidR="00C774A8" w:rsidRPr="00044D37" w:rsidRDefault="00C774A8" w:rsidP="00C774A8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</w:tcPr>
          <w:p w14:paraId="33B12970" w14:textId="77777777" w:rsidR="00C774A8" w:rsidRPr="00044D37" w:rsidRDefault="00C774A8" w:rsidP="00C774A8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2E8F78C4" w14:textId="7ABE041F" w:rsidR="00C774A8" w:rsidRPr="00044D37" w:rsidRDefault="00C774A8" w:rsidP="00C774A8">
            <w:pPr>
              <w:pStyle w:val="tabletextcentred"/>
            </w:pPr>
            <w:r w:rsidRPr="00E03807">
              <w:t>1</w:t>
            </w:r>
          </w:p>
        </w:tc>
      </w:tr>
      <w:tr w:rsidR="00C774A8" w:rsidRPr="00EB4806" w14:paraId="081B1228" w14:textId="77777777" w:rsidTr="00DE1D8E">
        <w:trPr>
          <w:trHeight w:val="454"/>
        </w:trPr>
        <w:tc>
          <w:tcPr>
            <w:tcW w:w="1271" w:type="dxa"/>
          </w:tcPr>
          <w:p w14:paraId="401E2469" w14:textId="77777777" w:rsidR="00C774A8" w:rsidRPr="008E74EA" w:rsidRDefault="00C774A8" w:rsidP="00C774A8">
            <w:pPr>
              <w:pStyle w:val="tabletextleft"/>
            </w:pPr>
            <w:r>
              <w:t>HM15 04</w:t>
            </w:r>
          </w:p>
        </w:tc>
        <w:tc>
          <w:tcPr>
            <w:tcW w:w="1701" w:type="dxa"/>
          </w:tcPr>
          <w:p w14:paraId="5F67A14A" w14:textId="77777777" w:rsidR="00C774A8" w:rsidRPr="004E60DA" w:rsidRDefault="00C774A8" w:rsidP="00C774A8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COSVR643v1</w:t>
            </w:r>
          </w:p>
        </w:tc>
        <w:tc>
          <w:tcPr>
            <w:tcW w:w="4111" w:type="dxa"/>
          </w:tcPr>
          <w:p w14:paraId="25A38939" w14:textId="77777777" w:rsidR="00C774A8" w:rsidRDefault="00C774A8" w:rsidP="00C774A8">
            <w:pPr>
              <w:pStyle w:val="tabletextleft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Move, Handle or Store Resources</w:t>
            </w:r>
          </w:p>
        </w:tc>
        <w:tc>
          <w:tcPr>
            <w:tcW w:w="850" w:type="dxa"/>
          </w:tcPr>
          <w:p w14:paraId="0DD4146B" w14:textId="77777777" w:rsidR="00C774A8" w:rsidRPr="00044D37" w:rsidRDefault="00C774A8" w:rsidP="00C774A8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</w:tcPr>
          <w:p w14:paraId="1C201601" w14:textId="77777777" w:rsidR="00C774A8" w:rsidRPr="00044D37" w:rsidRDefault="00C774A8" w:rsidP="00C774A8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14:paraId="15F8E2A2" w14:textId="66B103CF" w:rsidR="00C774A8" w:rsidRPr="00044D37" w:rsidRDefault="00C774A8" w:rsidP="00C774A8">
            <w:pPr>
              <w:pStyle w:val="tabletextcentred"/>
            </w:pPr>
            <w:r w:rsidRPr="00E03807">
              <w:t>1</w:t>
            </w:r>
          </w:p>
        </w:tc>
      </w:tr>
      <w:tr w:rsidR="005F166E" w:rsidRPr="00EB4806" w14:paraId="2E71CC5C" w14:textId="77777777" w:rsidTr="00772E40">
        <w:trPr>
          <w:trHeight w:val="454"/>
        </w:trPr>
        <w:tc>
          <w:tcPr>
            <w:tcW w:w="9918" w:type="dxa"/>
            <w:gridSpan w:val="6"/>
            <w:vAlign w:val="center"/>
          </w:tcPr>
          <w:p w14:paraId="0EC17352" w14:textId="72C5E5AB" w:rsidR="005F166E" w:rsidRDefault="005F166E" w:rsidP="00772E40">
            <w:pPr>
              <w:pStyle w:val="tabletextcentred"/>
              <w:jc w:val="left"/>
              <w:rPr>
                <w:b/>
                <w:bCs/>
              </w:rPr>
            </w:pPr>
            <w:r w:rsidRPr="005F166E">
              <w:rPr>
                <w:b/>
                <w:bCs/>
              </w:rPr>
              <w:t xml:space="preserve">Optional Units – learners must achieve </w:t>
            </w:r>
            <w:r>
              <w:rPr>
                <w:b/>
                <w:bCs/>
              </w:rPr>
              <w:t>t</w:t>
            </w:r>
            <w:r w:rsidR="00F327C3">
              <w:rPr>
                <w:b/>
                <w:bCs/>
              </w:rPr>
              <w:t>wo optional</w:t>
            </w:r>
            <w:r w:rsidRPr="005F166E">
              <w:rPr>
                <w:b/>
                <w:bCs/>
              </w:rPr>
              <w:t xml:space="preserve"> units</w:t>
            </w:r>
          </w:p>
        </w:tc>
      </w:tr>
      <w:tr w:rsidR="009C4A9E" w:rsidRPr="00EB4806" w14:paraId="0821A2FE" w14:textId="77777777" w:rsidTr="00DE1D8E">
        <w:trPr>
          <w:trHeight w:val="454"/>
        </w:trPr>
        <w:tc>
          <w:tcPr>
            <w:tcW w:w="1271" w:type="dxa"/>
          </w:tcPr>
          <w:p w14:paraId="51E3F144" w14:textId="12AE0DC2" w:rsidR="009C4A9E" w:rsidRPr="008E74EA" w:rsidRDefault="00DE1D8E" w:rsidP="00772E40">
            <w:pPr>
              <w:pStyle w:val="tabletextleft"/>
            </w:pPr>
            <w:r>
              <w:t>J7A0 04</w:t>
            </w:r>
          </w:p>
        </w:tc>
        <w:tc>
          <w:tcPr>
            <w:tcW w:w="1701" w:type="dxa"/>
          </w:tcPr>
          <w:p w14:paraId="30AB9E83" w14:textId="480B9E53" w:rsidR="009C4A9E" w:rsidRPr="00044D37" w:rsidRDefault="00F327C3" w:rsidP="00772E40">
            <w:pPr>
              <w:pStyle w:val="tabletextleft"/>
            </w:pPr>
            <w:r>
              <w:t>COSVR166v4</w:t>
            </w:r>
          </w:p>
        </w:tc>
        <w:tc>
          <w:tcPr>
            <w:tcW w:w="4111" w:type="dxa"/>
          </w:tcPr>
          <w:p w14:paraId="42ECD524" w14:textId="3E60B268" w:rsidR="009C4A9E" w:rsidRPr="006F499E" w:rsidRDefault="00F327C3" w:rsidP="00772E40">
            <w:pPr>
              <w:pStyle w:val="tabletextleft"/>
            </w:pPr>
            <w:r>
              <w:rPr>
                <w:rFonts w:cs="Arial"/>
                <w:lang w:eastAsia="en-GB"/>
              </w:rPr>
              <w:t>Cut and Bend Reinforcement Steel to Shape</w:t>
            </w:r>
          </w:p>
        </w:tc>
        <w:tc>
          <w:tcPr>
            <w:tcW w:w="850" w:type="dxa"/>
          </w:tcPr>
          <w:p w14:paraId="12B99FD8" w14:textId="77777777" w:rsidR="009C4A9E" w:rsidRPr="00044D37" w:rsidRDefault="009C4A9E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</w:tcPr>
          <w:p w14:paraId="7635EC2B" w14:textId="59F7E709" w:rsidR="009C4A9E" w:rsidRPr="00044D37" w:rsidRDefault="009C4A9E" w:rsidP="00772E40">
            <w:pPr>
              <w:pStyle w:val="tabletextcentred"/>
            </w:pPr>
            <w:r>
              <w:t>1</w:t>
            </w:r>
            <w:r w:rsidR="00F327C3">
              <w:t>6</w:t>
            </w:r>
          </w:p>
        </w:tc>
        <w:tc>
          <w:tcPr>
            <w:tcW w:w="992" w:type="dxa"/>
          </w:tcPr>
          <w:p w14:paraId="0DB23180" w14:textId="77B91616" w:rsidR="009C4A9E" w:rsidRPr="00044D37" w:rsidRDefault="009C4A9E" w:rsidP="00772E40">
            <w:pPr>
              <w:pStyle w:val="tabletextcentred"/>
            </w:pPr>
            <w:r>
              <w:t>1</w:t>
            </w:r>
          </w:p>
        </w:tc>
      </w:tr>
      <w:tr w:rsidR="009C4A9E" w:rsidRPr="00EB4806" w14:paraId="06EC59F6" w14:textId="77777777" w:rsidTr="00DE1D8E">
        <w:trPr>
          <w:trHeight w:val="454"/>
        </w:trPr>
        <w:tc>
          <w:tcPr>
            <w:tcW w:w="1271" w:type="dxa"/>
          </w:tcPr>
          <w:p w14:paraId="0D769330" w14:textId="758486A7" w:rsidR="009C4A9E" w:rsidRPr="008E74EA" w:rsidRDefault="00DE1D8E" w:rsidP="00772E40">
            <w:pPr>
              <w:pStyle w:val="tabletextleft"/>
            </w:pPr>
            <w:r>
              <w:t xml:space="preserve">J7A1 04 </w:t>
            </w:r>
          </w:p>
        </w:tc>
        <w:tc>
          <w:tcPr>
            <w:tcW w:w="1701" w:type="dxa"/>
          </w:tcPr>
          <w:p w14:paraId="18F952A9" w14:textId="51D02D2B" w:rsidR="009C4A9E" w:rsidRPr="00044D37" w:rsidRDefault="00F327C3" w:rsidP="00772E40">
            <w:pPr>
              <w:pStyle w:val="tabletextleft"/>
            </w:pPr>
            <w:r>
              <w:t>COSVR534v3</w:t>
            </w:r>
          </w:p>
        </w:tc>
        <w:tc>
          <w:tcPr>
            <w:tcW w:w="4111" w:type="dxa"/>
          </w:tcPr>
          <w:p w14:paraId="2FE4D60B" w14:textId="69B4AC9E" w:rsidR="009C4A9E" w:rsidRPr="006F499E" w:rsidRDefault="00F327C3" w:rsidP="00772E40">
            <w:pPr>
              <w:pStyle w:val="tabletextleft"/>
            </w:pPr>
            <w:r>
              <w:rPr>
                <w:rFonts w:cs="Arial"/>
                <w:lang w:eastAsia="en-GB"/>
              </w:rPr>
              <w:t>Fix Steel in</w:t>
            </w:r>
            <w:r w:rsidR="00DE1D8E">
              <w:rPr>
                <w:rFonts w:cs="Arial"/>
                <w:lang w:eastAsia="en-GB"/>
              </w:rPr>
              <w:t>-situ</w:t>
            </w:r>
          </w:p>
        </w:tc>
        <w:tc>
          <w:tcPr>
            <w:tcW w:w="850" w:type="dxa"/>
          </w:tcPr>
          <w:p w14:paraId="78F423C2" w14:textId="3E4CA7F7" w:rsidR="009C4A9E" w:rsidRPr="00044D37" w:rsidRDefault="00F327C3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</w:tcPr>
          <w:p w14:paraId="490CB96B" w14:textId="7D0100C9" w:rsidR="009C4A9E" w:rsidRPr="00044D37" w:rsidRDefault="00F327C3" w:rsidP="00772E40">
            <w:pPr>
              <w:pStyle w:val="tabletextcentred"/>
            </w:pPr>
            <w:r>
              <w:t>22</w:t>
            </w:r>
          </w:p>
        </w:tc>
        <w:tc>
          <w:tcPr>
            <w:tcW w:w="992" w:type="dxa"/>
          </w:tcPr>
          <w:p w14:paraId="0832261A" w14:textId="1FB74581" w:rsidR="009C4A9E" w:rsidRPr="00044D37" w:rsidRDefault="00F327C3" w:rsidP="00772E40">
            <w:pPr>
              <w:pStyle w:val="tabletextcentred"/>
            </w:pPr>
            <w:r>
              <w:t>1</w:t>
            </w:r>
          </w:p>
        </w:tc>
      </w:tr>
      <w:tr w:rsidR="00F327C3" w:rsidRPr="00EB4806" w14:paraId="578DB379" w14:textId="77777777" w:rsidTr="00DE1D8E">
        <w:trPr>
          <w:trHeight w:val="454"/>
        </w:trPr>
        <w:tc>
          <w:tcPr>
            <w:tcW w:w="1271" w:type="dxa"/>
          </w:tcPr>
          <w:p w14:paraId="708463C8" w14:textId="250AE9F4" w:rsidR="00F327C3" w:rsidRPr="008E74EA" w:rsidRDefault="00DE1D8E" w:rsidP="00772E40">
            <w:pPr>
              <w:pStyle w:val="tabletextleft"/>
            </w:pPr>
            <w:r>
              <w:t xml:space="preserve">J7A2 04 </w:t>
            </w:r>
          </w:p>
        </w:tc>
        <w:tc>
          <w:tcPr>
            <w:tcW w:w="1701" w:type="dxa"/>
          </w:tcPr>
          <w:p w14:paraId="21F4F5A1" w14:textId="3FB58F20" w:rsidR="00F327C3" w:rsidRDefault="00F327C3" w:rsidP="00772E40">
            <w:pPr>
              <w:pStyle w:val="tabletextleft"/>
            </w:pPr>
            <w:r>
              <w:t>COSVR535v3</w:t>
            </w:r>
          </w:p>
        </w:tc>
        <w:tc>
          <w:tcPr>
            <w:tcW w:w="4111" w:type="dxa"/>
          </w:tcPr>
          <w:p w14:paraId="4D7FF2A3" w14:textId="5F4A3E80" w:rsidR="00F327C3" w:rsidRDefault="00F327C3" w:rsidP="00772E40">
            <w:pPr>
              <w:pStyle w:val="tabletextlef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Prefabricate Reinforcement Steel Sections</w:t>
            </w:r>
          </w:p>
        </w:tc>
        <w:tc>
          <w:tcPr>
            <w:tcW w:w="850" w:type="dxa"/>
          </w:tcPr>
          <w:p w14:paraId="408C2631" w14:textId="2A8820A6" w:rsidR="00F327C3" w:rsidRPr="00044D37" w:rsidRDefault="00F327C3" w:rsidP="00772E40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</w:tcPr>
          <w:p w14:paraId="5BA1EA82" w14:textId="5188C14A" w:rsidR="00F327C3" w:rsidRPr="00044D37" w:rsidRDefault="00F327C3" w:rsidP="00772E40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6DAE6CB8" w14:textId="066C275A" w:rsidR="00F327C3" w:rsidRDefault="00F327C3" w:rsidP="00772E40">
            <w:pPr>
              <w:pStyle w:val="tabletextcentred"/>
            </w:pPr>
            <w:r>
              <w:t>1</w:t>
            </w:r>
          </w:p>
        </w:tc>
      </w:tr>
    </w:tbl>
    <w:p w14:paraId="411FC51A" w14:textId="1D6E62D9" w:rsidR="00A004DE" w:rsidRDefault="00A004DE" w:rsidP="00575B9F">
      <w:pPr>
        <w:rPr>
          <w:b/>
        </w:rPr>
      </w:pPr>
    </w:p>
    <w:sectPr w:rsidR="00A004DE" w:rsidSect="00791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16531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94"/>
    <w:rsid w:val="000626BA"/>
    <w:rsid w:val="001774DE"/>
    <w:rsid w:val="003539D3"/>
    <w:rsid w:val="004179AA"/>
    <w:rsid w:val="00463E1D"/>
    <w:rsid w:val="005030E0"/>
    <w:rsid w:val="00575B9F"/>
    <w:rsid w:val="005F166E"/>
    <w:rsid w:val="006320FC"/>
    <w:rsid w:val="006E5F13"/>
    <w:rsid w:val="007076FF"/>
    <w:rsid w:val="00791D54"/>
    <w:rsid w:val="007A212B"/>
    <w:rsid w:val="007D1173"/>
    <w:rsid w:val="0086305E"/>
    <w:rsid w:val="008F540C"/>
    <w:rsid w:val="00923594"/>
    <w:rsid w:val="009C4A9E"/>
    <w:rsid w:val="00A004DE"/>
    <w:rsid w:val="00A37873"/>
    <w:rsid w:val="00A65E65"/>
    <w:rsid w:val="00AF4FBF"/>
    <w:rsid w:val="00C60EAE"/>
    <w:rsid w:val="00C774A8"/>
    <w:rsid w:val="00D427E0"/>
    <w:rsid w:val="00D81453"/>
    <w:rsid w:val="00DE1D8E"/>
    <w:rsid w:val="00E07934"/>
    <w:rsid w:val="00E251CF"/>
    <w:rsid w:val="00EA07A5"/>
    <w:rsid w:val="00F327C3"/>
    <w:rsid w:val="00F6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69B5"/>
  <w15:chartTrackingRefBased/>
  <w15:docId w15:val="{4B6B86AA-A568-4F4F-8C28-C6ACC753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594"/>
    <w:pPr>
      <w:spacing w:after="0" w:line="240" w:lineRule="auto"/>
    </w:pPr>
    <w:rPr>
      <w:rFonts w:ascii="Arial" w:eastAsia="Calibri" w:hAnsi="Arial" w:cs="Times New Roman"/>
    </w:rPr>
  </w:style>
  <w:style w:type="paragraph" w:styleId="Heading2">
    <w:name w:val="heading 2"/>
    <w:next w:val="Normal"/>
    <w:link w:val="Heading2Char"/>
    <w:uiPriority w:val="9"/>
    <w:qFormat/>
    <w:rsid w:val="00923594"/>
    <w:pPr>
      <w:spacing w:after="280" w:line="240" w:lineRule="auto"/>
      <w:ind w:left="1985" w:hanging="1985"/>
      <w:outlineLvl w:val="1"/>
    </w:pPr>
    <w:rPr>
      <w:rFonts w:ascii="Arial" w:eastAsia="Times New Roman" w:hAnsi="Arial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3594"/>
    <w:rPr>
      <w:rFonts w:ascii="Arial" w:eastAsia="Times New Roman" w:hAnsi="Arial" w:cs="Times New Roman"/>
      <w:b/>
      <w:bCs/>
      <w:sz w:val="36"/>
      <w:szCs w:val="36"/>
      <w:lang w:eastAsia="en-GB"/>
    </w:rPr>
  </w:style>
  <w:style w:type="paragraph" w:customStyle="1" w:styleId="bullet">
    <w:name w:val="bullet"/>
    <w:rsid w:val="00923594"/>
    <w:pPr>
      <w:numPr>
        <w:numId w:val="1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customStyle="1" w:styleId="tabletextleft">
    <w:name w:val="table text left"/>
    <w:rsid w:val="00923594"/>
    <w:pPr>
      <w:tabs>
        <w:tab w:val="left" w:pos="284"/>
        <w:tab w:val="left" w:pos="567"/>
      </w:tabs>
      <w:spacing w:after="0" w:line="240" w:lineRule="auto"/>
    </w:pPr>
    <w:rPr>
      <w:rFonts w:ascii="Arial" w:eastAsia="Times New Roman" w:hAnsi="Arial" w:cs="Times New Roman"/>
    </w:rPr>
  </w:style>
  <w:style w:type="paragraph" w:customStyle="1" w:styleId="TableheadingLeft">
    <w:name w:val="Table heading Left"/>
    <w:qFormat/>
    <w:rsid w:val="00923594"/>
    <w:pPr>
      <w:spacing w:after="0" w:line="240" w:lineRule="auto"/>
    </w:pPr>
    <w:rPr>
      <w:rFonts w:ascii="Arial" w:eastAsia="Times New Roman" w:hAnsi="Arial" w:cs="Times New Roman"/>
      <w:b/>
    </w:rPr>
  </w:style>
  <w:style w:type="paragraph" w:customStyle="1" w:styleId="Tableheadingcentred">
    <w:name w:val="Table heading centred"/>
    <w:qFormat/>
    <w:rsid w:val="00923594"/>
    <w:pPr>
      <w:spacing w:after="0" w:line="240" w:lineRule="auto"/>
      <w:jc w:val="center"/>
    </w:pPr>
    <w:rPr>
      <w:rFonts w:ascii="Arial" w:eastAsia="Times New Roman" w:hAnsi="Arial" w:cs="Times New Roman"/>
      <w:b/>
    </w:rPr>
  </w:style>
  <w:style w:type="paragraph" w:customStyle="1" w:styleId="tabletextcentred">
    <w:name w:val="table text centred"/>
    <w:qFormat/>
    <w:rsid w:val="00923594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Arial"/>
    </w:rPr>
  </w:style>
  <w:style w:type="paragraph" w:customStyle="1" w:styleId="GACode">
    <w:name w:val="GA Code"/>
    <w:qFormat/>
    <w:rsid w:val="00923594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paragraph" w:customStyle="1" w:styleId="GATitle">
    <w:name w:val="GA Title"/>
    <w:qFormat/>
    <w:rsid w:val="00923594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paragraph" w:styleId="Revision">
    <w:name w:val="Revision"/>
    <w:hidden/>
    <w:uiPriority w:val="99"/>
    <w:semiHidden/>
    <w:rsid w:val="00F675AA"/>
    <w:pPr>
      <w:spacing w:after="0" w:line="240" w:lineRule="auto"/>
    </w:pPr>
    <w:rPr>
      <w:rFonts w:ascii="Arial" w:eastAsia="Calibri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Anne Thomson</dc:creator>
  <cp:keywords/>
  <dc:description/>
  <cp:lastModifiedBy>Jean Cameron</cp:lastModifiedBy>
  <cp:revision>2</cp:revision>
  <dcterms:created xsi:type="dcterms:W3CDTF">2023-05-19T14:22:00Z</dcterms:created>
  <dcterms:modified xsi:type="dcterms:W3CDTF">2023-05-19T14:22:00Z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eea4aeaf-f552-4203-a45d-18959a3f2f0e</vt:lpwstr>
  </property>
</Properties>
</file>