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1B527BA6">
            <wp:extent cx="1789200" cy="954000"/>
            <wp:effectExtent l="0" t="0" r="1905" b="0"/>
            <wp:docPr id="1" name="Picture 1" descr="Scottish Qualifications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ottish Qualifications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66CACD90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4C6AAB">
        <w:rPr>
          <w:b w:val="0"/>
          <w:bCs/>
        </w:rPr>
        <w:t>Diploma in Accounting at</w:t>
      </w:r>
      <w:r w:rsidR="004C6AAB">
        <w:rPr>
          <w:b w:val="0"/>
          <w:bCs/>
        </w:rPr>
        <w:br/>
        <w:t>SCQF level 6</w:t>
      </w:r>
    </w:p>
    <w:p w14:paraId="540D70A3" w14:textId="6344BA39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2F3500" w:rsidRPr="002F3500">
        <w:rPr>
          <w:b w:val="0"/>
          <w:bCs/>
        </w:rPr>
        <w:t>GV9L 46</w:t>
      </w:r>
    </w:p>
    <w:p w14:paraId="19B55233" w14:textId="3A7BEFF0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4C6AAB">
        <w:rPr>
          <w:b w:val="0"/>
          <w:bCs/>
        </w:rPr>
        <w:t>50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8D2E4D" w:rsidRPr="00B44AA6">
        <w:rPr>
          <w:b w:val="0"/>
          <w:bCs/>
        </w:rPr>
        <w:t xml:space="preserve"> </w:t>
      </w:r>
      <w:r w:rsidR="004C6AAB">
        <w:rPr>
          <w:b w:val="0"/>
          <w:bCs/>
        </w:rPr>
        <w:t>55</w:t>
      </w:r>
    </w:p>
    <w:p w14:paraId="7A6895FE" w14:textId="3A471C6C" w:rsidR="00B46FF6" w:rsidRDefault="00B46FF6" w:rsidP="00CE3640">
      <w:pPr>
        <w:pStyle w:val="BodyText"/>
      </w:pPr>
      <w:r>
        <w:t>To attain the qualification, candidates must complete</w:t>
      </w:r>
      <w:r w:rsidR="004C6AAB">
        <w:t xml:space="preserve"> five units. This consists of:</w:t>
      </w:r>
    </w:p>
    <w:p w14:paraId="52C9025B" w14:textId="77777777" w:rsidR="004C6AAB" w:rsidRDefault="004C6AAB" w:rsidP="00CE3640">
      <w:pPr>
        <w:pStyle w:val="Bullet1"/>
      </w:pPr>
      <w:r>
        <w:t>four mandatory units and</w:t>
      </w:r>
    </w:p>
    <w:p w14:paraId="2DA4D8E5" w14:textId="05D895D9" w:rsidR="00B46FF6" w:rsidRDefault="004C6AAB" w:rsidP="00CE3640">
      <w:pPr>
        <w:pStyle w:val="Bullet1"/>
      </w:pPr>
      <w:r>
        <w:t>one optional unit</w:t>
      </w:r>
    </w:p>
    <w:p w14:paraId="2C05EB42" w14:textId="3D47796E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 xml:space="preserve">Please note the </w:t>
      </w:r>
      <w:r w:rsidR="00B20F67">
        <w:rPr>
          <w:lang w:val="en-US"/>
        </w:rPr>
        <w:t xml:space="preserve">following </w:t>
      </w:r>
      <w:r w:rsidRPr="00C36F7E">
        <w:rPr>
          <w:lang w:val="en-US"/>
        </w:rPr>
        <w:t>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4658A99B" w:rsidR="00C70EFF" w:rsidRDefault="00A026AE" w:rsidP="00F56FF6">
      <w:pPr>
        <w:pStyle w:val="Subheading"/>
      </w:pPr>
      <w:r>
        <w:t xml:space="preserve">Core units: </w:t>
      </w:r>
      <w:r w:rsidR="0092302D">
        <w:t>A</w:t>
      </w:r>
      <w:r>
        <w:t xml:space="preserve">ll four mandatory units must be taken with the required optional units as set out in </w:t>
      </w:r>
      <w:r w:rsidR="00322638">
        <w:t xml:space="preserve">the </w:t>
      </w:r>
      <w:r>
        <w:t>following tables: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203855">
        <w:trPr>
          <w:cantSplit/>
          <w:trHeight w:val="1021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60172359" w14:textId="0435A219" w:rsidR="0055580D" w:rsidRPr="0055580D" w:rsidRDefault="0055580D" w:rsidP="00E82ED7">
            <w:pPr>
              <w:pStyle w:val="TableHeader"/>
            </w:pPr>
            <w:r w:rsidRPr="0055580D">
              <w:t>SSC code</w:t>
            </w:r>
            <w:r w:rsidR="004E7EDF">
              <w:t>/</w:t>
            </w:r>
            <w:r w:rsidR="004E7EDF">
              <w:br/>
              <w:t>SDS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42B9C596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="004E7EDF">
              <w:t>C</w:t>
            </w:r>
            <w:r w:rsidRPr="0055580D">
              <w:t>redit</w:t>
            </w:r>
            <w:r w:rsidR="004E7EDF">
              <w:t xml:space="preserve"> points</w:t>
            </w:r>
          </w:p>
        </w:tc>
        <w:tc>
          <w:tcPr>
            <w:tcW w:w="1069" w:type="dxa"/>
            <w:vAlign w:val="center"/>
          </w:tcPr>
          <w:p w14:paraId="6D60596A" w14:textId="267E72F5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4E7EDF">
              <w:br/>
              <w:t xml:space="preserve">Unit </w:t>
            </w:r>
            <w:r w:rsidRPr="0055580D">
              <w:t>credits</w:t>
            </w:r>
          </w:p>
        </w:tc>
      </w:tr>
      <w:tr w:rsidR="0055580D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0E132419" w14:textId="288E51F5" w:rsidR="0055580D" w:rsidRPr="00CE3640" w:rsidRDefault="00E97E46" w:rsidP="00E82ED7">
            <w:pPr>
              <w:pStyle w:val="Tabledata"/>
            </w:pPr>
            <w:r w:rsidRPr="00E97E46">
              <w:t>J8XF 46</w:t>
            </w:r>
          </w:p>
        </w:tc>
        <w:tc>
          <w:tcPr>
            <w:tcW w:w="1475" w:type="dxa"/>
          </w:tcPr>
          <w:p w14:paraId="0F5C946C" w14:textId="4D992AD6" w:rsidR="0055580D" w:rsidRPr="00CE3640" w:rsidRDefault="004C6AAB" w:rsidP="00E82ED7">
            <w:pPr>
              <w:pStyle w:val="Tabledata"/>
            </w:pPr>
            <w:r>
              <w:t>SDS 0487</w:t>
            </w:r>
          </w:p>
        </w:tc>
        <w:tc>
          <w:tcPr>
            <w:tcW w:w="3358" w:type="dxa"/>
          </w:tcPr>
          <w:p w14:paraId="6DB6B5B1" w14:textId="1370A583" w:rsidR="0055580D" w:rsidRPr="00CE3640" w:rsidRDefault="004C6AAB" w:rsidP="00E82ED7">
            <w:pPr>
              <w:pStyle w:val="Tabledata"/>
            </w:pPr>
            <w:r w:rsidRPr="004C6AAB">
              <w:t>Applying Principles of Accounting Operations</w:t>
            </w:r>
          </w:p>
        </w:tc>
        <w:tc>
          <w:tcPr>
            <w:tcW w:w="1068" w:type="dxa"/>
          </w:tcPr>
          <w:p w14:paraId="15654BED" w14:textId="793B2FEE" w:rsidR="0055580D" w:rsidRPr="00CE3640" w:rsidRDefault="00A026AE" w:rsidP="00E82ED7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A1E8A0D" w14:textId="4FC4F6C3" w:rsidR="0055580D" w:rsidRPr="00CE3640" w:rsidRDefault="00F077BC" w:rsidP="00E82ED7">
            <w:pPr>
              <w:pStyle w:val="Tabledata"/>
              <w:jc w:val="center"/>
            </w:pPr>
            <w:r>
              <w:t>10</w:t>
            </w:r>
          </w:p>
        </w:tc>
        <w:tc>
          <w:tcPr>
            <w:tcW w:w="1069" w:type="dxa"/>
          </w:tcPr>
          <w:p w14:paraId="30A31573" w14:textId="523B88CE" w:rsidR="0055580D" w:rsidRPr="00CE3640" w:rsidRDefault="00F077BC" w:rsidP="00E82ED7">
            <w:pPr>
              <w:pStyle w:val="Tabledata"/>
              <w:jc w:val="center"/>
            </w:pPr>
            <w:r>
              <w:t>1</w:t>
            </w:r>
          </w:p>
        </w:tc>
      </w:tr>
      <w:tr w:rsidR="006665BB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38AFAAF5" w14:textId="5CF1EE3A" w:rsidR="006665BB" w:rsidRPr="00CE3640" w:rsidRDefault="004531B8" w:rsidP="00E82ED7">
            <w:pPr>
              <w:pStyle w:val="Tabledata"/>
            </w:pPr>
            <w:r w:rsidRPr="004531B8">
              <w:t>J8XG 47</w:t>
            </w:r>
          </w:p>
        </w:tc>
        <w:tc>
          <w:tcPr>
            <w:tcW w:w="1475" w:type="dxa"/>
          </w:tcPr>
          <w:p w14:paraId="463E54F1" w14:textId="6E8A0325" w:rsidR="006665BB" w:rsidRPr="00CE3640" w:rsidRDefault="004C6AAB" w:rsidP="00E82ED7">
            <w:pPr>
              <w:pStyle w:val="Tabledata"/>
            </w:pPr>
            <w:r>
              <w:t>SDS 0488</w:t>
            </w:r>
          </w:p>
        </w:tc>
        <w:tc>
          <w:tcPr>
            <w:tcW w:w="3358" w:type="dxa"/>
          </w:tcPr>
          <w:p w14:paraId="604D7685" w14:textId="4F7661F9" w:rsidR="006665BB" w:rsidRPr="00CE3640" w:rsidRDefault="004C6AAB" w:rsidP="00E82ED7">
            <w:pPr>
              <w:pStyle w:val="Tabledata"/>
            </w:pPr>
            <w:r w:rsidRPr="004C6AAB">
              <w:t>Applying Principles of Management Accounting</w:t>
            </w:r>
          </w:p>
        </w:tc>
        <w:tc>
          <w:tcPr>
            <w:tcW w:w="1068" w:type="dxa"/>
          </w:tcPr>
          <w:p w14:paraId="16C8A569" w14:textId="6EAAC2AE" w:rsidR="006665BB" w:rsidRPr="00CE3640" w:rsidRDefault="00A026AE" w:rsidP="00E82ED7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2A7E5F7F" w14:textId="3D1B0B5D" w:rsidR="006665BB" w:rsidRPr="00CE3640" w:rsidRDefault="00F077BC" w:rsidP="00E82ED7">
            <w:pPr>
              <w:pStyle w:val="Tabledata"/>
              <w:jc w:val="center"/>
            </w:pPr>
            <w:r>
              <w:t>15</w:t>
            </w:r>
          </w:p>
        </w:tc>
        <w:tc>
          <w:tcPr>
            <w:tcW w:w="1069" w:type="dxa"/>
          </w:tcPr>
          <w:p w14:paraId="4D22675F" w14:textId="518FCA6C" w:rsidR="006665BB" w:rsidRPr="00CE3640" w:rsidRDefault="00F077BC" w:rsidP="00E82ED7">
            <w:pPr>
              <w:pStyle w:val="Tabledata"/>
              <w:jc w:val="center"/>
            </w:pPr>
            <w:r>
              <w:t>1</w:t>
            </w:r>
          </w:p>
        </w:tc>
      </w:tr>
      <w:tr w:rsidR="00C70EFF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0571983E" w14:textId="31CF47E8" w:rsidR="00C70EFF" w:rsidRPr="00CE3640" w:rsidRDefault="0004124C" w:rsidP="00E82ED7">
            <w:pPr>
              <w:pStyle w:val="Tabledata"/>
            </w:pPr>
            <w:r w:rsidRPr="0004124C">
              <w:t>J8XH 46</w:t>
            </w:r>
          </w:p>
        </w:tc>
        <w:tc>
          <w:tcPr>
            <w:tcW w:w="1475" w:type="dxa"/>
          </w:tcPr>
          <w:p w14:paraId="71EA22D1" w14:textId="7631C83E" w:rsidR="00C70EFF" w:rsidRPr="00CE3640" w:rsidRDefault="004C6AAB" w:rsidP="00E82ED7">
            <w:pPr>
              <w:pStyle w:val="Tabledata"/>
            </w:pPr>
            <w:r>
              <w:t>SDS 0490</w:t>
            </w:r>
          </w:p>
        </w:tc>
        <w:tc>
          <w:tcPr>
            <w:tcW w:w="3358" w:type="dxa"/>
          </w:tcPr>
          <w:p w14:paraId="3E4690C8" w14:textId="7CA61D84" w:rsidR="00C70EFF" w:rsidRPr="00CE3640" w:rsidRDefault="004C6AAB" w:rsidP="00E82ED7">
            <w:pPr>
              <w:pStyle w:val="Tabledata"/>
            </w:pPr>
            <w:r w:rsidRPr="004C6AAB">
              <w:t>Handling Financial Transactions</w:t>
            </w:r>
          </w:p>
        </w:tc>
        <w:tc>
          <w:tcPr>
            <w:tcW w:w="1068" w:type="dxa"/>
          </w:tcPr>
          <w:p w14:paraId="342D0F04" w14:textId="27FB8BEB" w:rsidR="00C70EFF" w:rsidRPr="00CE3640" w:rsidRDefault="00A026AE" w:rsidP="00E82ED7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FA5D56F" w14:textId="2CD11FE0" w:rsidR="00C70EFF" w:rsidRPr="00CE3640" w:rsidRDefault="00F077BC" w:rsidP="00E82ED7">
            <w:pPr>
              <w:pStyle w:val="Tabledata"/>
              <w:jc w:val="center"/>
            </w:pPr>
            <w:r>
              <w:t>10</w:t>
            </w:r>
          </w:p>
        </w:tc>
        <w:tc>
          <w:tcPr>
            <w:tcW w:w="1069" w:type="dxa"/>
          </w:tcPr>
          <w:p w14:paraId="57F9DA04" w14:textId="6DC0AB97" w:rsidR="00C70EFF" w:rsidRPr="00CE3640" w:rsidRDefault="00F077BC" w:rsidP="00E82ED7">
            <w:pPr>
              <w:pStyle w:val="Tabledata"/>
              <w:jc w:val="center"/>
            </w:pPr>
            <w:r>
              <w:t>1</w:t>
            </w:r>
          </w:p>
        </w:tc>
      </w:tr>
      <w:tr w:rsidR="00C70EFF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4E2B41B8" w14:textId="7DAEDC5C" w:rsidR="00C70EFF" w:rsidRPr="00CE3640" w:rsidRDefault="00AB2647" w:rsidP="00E82ED7">
            <w:pPr>
              <w:pStyle w:val="Tabledata"/>
            </w:pPr>
            <w:r w:rsidRPr="00AB2647">
              <w:t>J8XJ 46</w:t>
            </w:r>
          </w:p>
        </w:tc>
        <w:tc>
          <w:tcPr>
            <w:tcW w:w="1475" w:type="dxa"/>
          </w:tcPr>
          <w:p w14:paraId="6C850CE7" w14:textId="2233D69F" w:rsidR="00C70EFF" w:rsidRPr="00CE3640" w:rsidRDefault="004C6AAB" w:rsidP="00E82ED7">
            <w:pPr>
              <w:pStyle w:val="Tabledata"/>
            </w:pPr>
            <w:r>
              <w:t>US0194</w:t>
            </w:r>
          </w:p>
        </w:tc>
        <w:tc>
          <w:tcPr>
            <w:tcW w:w="3358" w:type="dxa"/>
          </w:tcPr>
          <w:p w14:paraId="474CEAAF" w14:textId="50EB4A74" w:rsidR="00C70EFF" w:rsidRPr="00CE3640" w:rsidRDefault="004C6AAB" w:rsidP="00E82ED7">
            <w:pPr>
              <w:pStyle w:val="Tabledata"/>
            </w:pPr>
            <w:r w:rsidRPr="004C6AAB">
              <w:t>Developing Meta-Skills and Personal Practice</w:t>
            </w:r>
          </w:p>
        </w:tc>
        <w:tc>
          <w:tcPr>
            <w:tcW w:w="1068" w:type="dxa"/>
          </w:tcPr>
          <w:p w14:paraId="6CD423A6" w14:textId="78336FD7" w:rsidR="00C70EFF" w:rsidRPr="00CE3640" w:rsidRDefault="00A026AE" w:rsidP="00E82ED7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1687C9C" w14:textId="1383AA2F" w:rsidR="00C70EFF" w:rsidRPr="00CE3640" w:rsidRDefault="00F077BC" w:rsidP="00E82ED7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0813654" w14:textId="3D2476F6" w:rsidR="00C70EFF" w:rsidRPr="00CE3640" w:rsidRDefault="00F077BC" w:rsidP="00E82ED7">
            <w:pPr>
              <w:pStyle w:val="Tabledata"/>
              <w:jc w:val="center"/>
            </w:pPr>
            <w:r>
              <w:t>1</w:t>
            </w:r>
          </w:p>
        </w:tc>
      </w:tr>
    </w:tbl>
    <w:p w14:paraId="60542928" w14:textId="77777777" w:rsidR="00A026AE" w:rsidRDefault="00A026AE">
      <w:pPr>
        <w:spacing w:after="160" w:line="259" w:lineRule="auto"/>
      </w:pPr>
      <w:r>
        <w:br w:type="page"/>
      </w:r>
    </w:p>
    <w:p w14:paraId="5BA57845" w14:textId="44C4718F" w:rsidR="006665BB" w:rsidRDefault="006665BB" w:rsidP="00CE3640">
      <w:pPr>
        <w:pStyle w:val="Heading2"/>
      </w:pPr>
      <w:r>
        <w:lastRenderedPageBreak/>
        <w:t xml:space="preserve">Additional </w:t>
      </w:r>
      <w:r w:rsidR="00A026AE">
        <w:t xml:space="preserve">structural </w:t>
      </w:r>
      <w:r>
        <w:t>information</w:t>
      </w:r>
    </w:p>
    <w:p w14:paraId="5BA8FB81" w14:textId="62076DB9" w:rsidR="00916D6E" w:rsidRDefault="00A026AE" w:rsidP="00A026AE">
      <w:pPr>
        <w:pStyle w:val="BodyText"/>
        <w:rPr>
          <w:lang w:val="en-US"/>
        </w:rPr>
      </w:pPr>
      <w:r w:rsidRPr="00A026AE">
        <w:rPr>
          <w:lang w:val="en-US"/>
        </w:rPr>
        <w:t>The qualification consists of three mandatory accounting units, one mandator</w:t>
      </w:r>
      <w:r w:rsidR="0092302D">
        <w:rPr>
          <w:lang w:val="en-US"/>
        </w:rPr>
        <w:t>y</w:t>
      </w:r>
      <w:r w:rsidR="0092302D">
        <w:rPr>
          <w:lang w:val="en-US"/>
        </w:rPr>
        <w:br/>
        <w:t>meta-</w:t>
      </w:r>
      <w:r w:rsidRPr="00A026AE">
        <w:rPr>
          <w:lang w:val="en-US"/>
        </w:rPr>
        <w:t>skills unit together with one optional accounting unit selected from a choice of three.</w:t>
      </w:r>
    </w:p>
    <w:p w14:paraId="795F15F7" w14:textId="75524FA7" w:rsidR="00A026AE" w:rsidRDefault="00A026AE" w:rsidP="00A026AE">
      <w:pPr>
        <w:pStyle w:val="Heading2"/>
      </w:pPr>
      <w:r>
        <w:t>Additional credit rating information</w:t>
      </w:r>
    </w:p>
    <w:p w14:paraId="4298C56D" w14:textId="37C4F5FC" w:rsidR="00A026AE" w:rsidRDefault="00A026AE" w:rsidP="00A026AE">
      <w:pPr>
        <w:pStyle w:val="BodyText"/>
        <w:rPr>
          <w:lang w:val="en-US"/>
        </w:rPr>
      </w:pPr>
      <w:r w:rsidRPr="00A026AE">
        <w:rPr>
          <w:lang w:val="en-US"/>
        </w:rPr>
        <w:t xml:space="preserve">SCQF </w:t>
      </w:r>
      <w:r>
        <w:rPr>
          <w:lang w:val="en-US"/>
        </w:rPr>
        <w:t>l</w:t>
      </w:r>
      <w:r w:rsidRPr="00A026AE">
        <w:rPr>
          <w:lang w:val="en-US"/>
        </w:rPr>
        <w:t xml:space="preserve">evel 6 is the dominant level across the units with two out of three of the mandatory accounting units at SCQF </w:t>
      </w:r>
      <w:r>
        <w:rPr>
          <w:lang w:val="en-US"/>
        </w:rPr>
        <w:t>l</w:t>
      </w:r>
      <w:r w:rsidRPr="00A026AE">
        <w:rPr>
          <w:lang w:val="en-US"/>
        </w:rPr>
        <w:t>evel 6.</w:t>
      </w:r>
    </w:p>
    <w:p w14:paraId="1212A3D0" w14:textId="340C11D2" w:rsidR="00C70EFF" w:rsidRDefault="00C70EFF" w:rsidP="00F56FF6">
      <w:pPr>
        <w:pStyle w:val="Subheading"/>
      </w:pPr>
      <w:r>
        <w:t xml:space="preserve">Optional </w:t>
      </w:r>
      <w:r w:rsidR="00A026AE">
        <w:t>units</w:t>
      </w:r>
      <w:r>
        <w:t xml:space="preserve">: </w:t>
      </w:r>
      <w:r w:rsidR="00A026AE">
        <w:t>Complete at least one optional unit from the following table: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4E7EDF" w14:paraId="6C55A758" w14:textId="77777777" w:rsidTr="00203855">
        <w:trPr>
          <w:cantSplit/>
          <w:trHeight w:val="1021"/>
          <w:tblHeader/>
        </w:trPr>
        <w:tc>
          <w:tcPr>
            <w:tcW w:w="1601" w:type="dxa"/>
            <w:vAlign w:val="center"/>
          </w:tcPr>
          <w:p w14:paraId="7D1EC808" w14:textId="77777777" w:rsidR="004E7EDF" w:rsidRPr="0055580D" w:rsidRDefault="004E7EDF" w:rsidP="000C77CB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0ECCCF3" w14:textId="77777777" w:rsidR="004E7EDF" w:rsidRPr="0055580D" w:rsidRDefault="004E7EDF" w:rsidP="000C77CB">
            <w:pPr>
              <w:pStyle w:val="TableHeader"/>
            </w:pPr>
            <w:r w:rsidRPr="0055580D">
              <w:t>SSC code</w:t>
            </w:r>
            <w:r>
              <w:t>/</w:t>
            </w:r>
            <w:r>
              <w:br/>
              <w:t>SDS code</w:t>
            </w:r>
          </w:p>
        </w:tc>
        <w:tc>
          <w:tcPr>
            <w:tcW w:w="3358" w:type="dxa"/>
            <w:vAlign w:val="center"/>
          </w:tcPr>
          <w:p w14:paraId="377F4B70" w14:textId="77777777" w:rsidR="004E7EDF" w:rsidRPr="0055580D" w:rsidRDefault="004E7EDF" w:rsidP="000C77CB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97DD444" w14:textId="77777777" w:rsidR="004E7EDF" w:rsidRPr="0055580D" w:rsidRDefault="004E7EDF" w:rsidP="000C77CB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5B45009B" w14:textId="77777777" w:rsidR="004E7EDF" w:rsidRPr="0055580D" w:rsidRDefault="004E7EDF" w:rsidP="000C77CB">
            <w:pPr>
              <w:pStyle w:val="TableHeader"/>
              <w:jc w:val="center"/>
            </w:pPr>
            <w:r w:rsidRPr="0055580D">
              <w:t>SCQF</w:t>
            </w:r>
            <w:r>
              <w:br/>
              <w:t>C</w:t>
            </w:r>
            <w:r w:rsidRPr="0055580D">
              <w:t>redit</w:t>
            </w:r>
            <w:r>
              <w:t xml:space="preserve"> points</w:t>
            </w:r>
          </w:p>
        </w:tc>
        <w:tc>
          <w:tcPr>
            <w:tcW w:w="1069" w:type="dxa"/>
            <w:vAlign w:val="center"/>
          </w:tcPr>
          <w:p w14:paraId="0135143A" w14:textId="77777777" w:rsidR="004E7EDF" w:rsidRPr="0055580D" w:rsidRDefault="004E7EDF" w:rsidP="000C77CB">
            <w:pPr>
              <w:pStyle w:val="TableHeader"/>
              <w:jc w:val="center"/>
            </w:pPr>
            <w:r w:rsidRPr="0055580D">
              <w:t>SQA</w:t>
            </w:r>
            <w:r>
              <w:br/>
              <w:t xml:space="preserve">Unit </w:t>
            </w:r>
            <w:r w:rsidRPr="0055580D">
              <w:t>credits</w:t>
            </w:r>
          </w:p>
        </w:tc>
      </w:tr>
      <w:tr w:rsidR="004E7EDF" w14:paraId="3A83A5B7" w14:textId="77777777" w:rsidTr="000C77CB">
        <w:trPr>
          <w:cantSplit/>
          <w:trHeight w:val="454"/>
        </w:trPr>
        <w:tc>
          <w:tcPr>
            <w:tcW w:w="1601" w:type="dxa"/>
          </w:tcPr>
          <w:p w14:paraId="2D01D69A" w14:textId="23096467" w:rsidR="004E7EDF" w:rsidRPr="00CE3640" w:rsidRDefault="00C95234" w:rsidP="000C77CB">
            <w:pPr>
              <w:pStyle w:val="Tabledata"/>
            </w:pPr>
            <w:r w:rsidRPr="00C95234">
              <w:t>J8XK 46</w:t>
            </w:r>
          </w:p>
        </w:tc>
        <w:tc>
          <w:tcPr>
            <w:tcW w:w="1475" w:type="dxa"/>
          </w:tcPr>
          <w:p w14:paraId="3A92AC16" w14:textId="4F26F548" w:rsidR="004E7EDF" w:rsidRPr="00CE3640" w:rsidRDefault="00A026AE" w:rsidP="000C77CB">
            <w:pPr>
              <w:pStyle w:val="Tabledata"/>
            </w:pPr>
            <w:r>
              <w:t>SDS 0491</w:t>
            </w:r>
          </w:p>
        </w:tc>
        <w:tc>
          <w:tcPr>
            <w:tcW w:w="3358" w:type="dxa"/>
          </w:tcPr>
          <w:p w14:paraId="27E08F2D" w14:textId="7E2567A0" w:rsidR="004E7EDF" w:rsidRPr="00CE3640" w:rsidRDefault="00A026AE" w:rsidP="000C77CB">
            <w:pPr>
              <w:pStyle w:val="Tabledata"/>
            </w:pPr>
            <w:r w:rsidRPr="00A026AE">
              <w:t>Producing Financial Information and Forecasts</w:t>
            </w:r>
          </w:p>
        </w:tc>
        <w:tc>
          <w:tcPr>
            <w:tcW w:w="1068" w:type="dxa"/>
          </w:tcPr>
          <w:p w14:paraId="6CE17A40" w14:textId="1EDAC4FD" w:rsidR="004E7EDF" w:rsidRPr="00CE3640" w:rsidRDefault="00A026AE" w:rsidP="000C77C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11BDF57" w14:textId="5163A293" w:rsidR="004E7EDF" w:rsidRPr="00CE3640" w:rsidRDefault="00F077BC" w:rsidP="000C77CB">
            <w:pPr>
              <w:pStyle w:val="Tabledata"/>
              <w:jc w:val="center"/>
            </w:pPr>
            <w:r>
              <w:t>10</w:t>
            </w:r>
          </w:p>
        </w:tc>
        <w:tc>
          <w:tcPr>
            <w:tcW w:w="1069" w:type="dxa"/>
          </w:tcPr>
          <w:p w14:paraId="4553CA45" w14:textId="7660CC66" w:rsidR="004E7EDF" w:rsidRPr="00CE3640" w:rsidRDefault="00F077BC" w:rsidP="000C77CB">
            <w:pPr>
              <w:pStyle w:val="Tabledata"/>
              <w:jc w:val="center"/>
            </w:pPr>
            <w:r>
              <w:t>1</w:t>
            </w:r>
          </w:p>
        </w:tc>
      </w:tr>
      <w:tr w:rsidR="004E7EDF" w14:paraId="51FC31EB" w14:textId="77777777" w:rsidTr="000C77CB">
        <w:trPr>
          <w:cantSplit/>
          <w:trHeight w:val="454"/>
        </w:trPr>
        <w:tc>
          <w:tcPr>
            <w:tcW w:w="1601" w:type="dxa"/>
          </w:tcPr>
          <w:p w14:paraId="67791F7D" w14:textId="4C89932B" w:rsidR="004E7EDF" w:rsidRPr="00CE3640" w:rsidRDefault="0012523F" w:rsidP="000C77CB">
            <w:pPr>
              <w:pStyle w:val="Tabledata"/>
            </w:pPr>
            <w:r w:rsidRPr="0012523F">
              <w:t>J8XL 46</w:t>
            </w:r>
          </w:p>
        </w:tc>
        <w:tc>
          <w:tcPr>
            <w:tcW w:w="1475" w:type="dxa"/>
          </w:tcPr>
          <w:p w14:paraId="2CB9FF97" w14:textId="01C1F9CC" w:rsidR="004E7EDF" w:rsidRPr="00CE3640" w:rsidRDefault="00A026AE" w:rsidP="000C77CB">
            <w:pPr>
              <w:pStyle w:val="Tabledata"/>
            </w:pPr>
            <w:r>
              <w:t>SDS 0489</w:t>
            </w:r>
          </w:p>
        </w:tc>
        <w:tc>
          <w:tcPr>
            <w:tcW w:w="3358" w:type="dxa"/>
          </w:tcPr>
          <w:p w14:paraId="768EFD06" w14:textId="545B07FF" w:rsidR="004E7EDF" w:rsidRPr="00CE3640" w:rsidRDefault="00A026AE" w:rsidP="000C77CB">
            <w:pPr>
              <w:pStyle w:val="Tabledata"/>
            </w:pPr>
            <w:r w:rsidRPr="00A026AE">
              <w:t>Carrying Out VAT Administration</w:t>
            </w:r>
          </w:p>
        </w:tc>
        <w:tc>
          <w:tcPr>
            <w:tcW w:w="1068" w:type="dxa"/>
          </w:tcPr>
          <w:p w14:paraId="668DBFB8" w14:textId="49C3DAAD" w:rsidR="004E7EDF" w:rsidRPr="00CE3640" w:rsidRDefault="00A026AE" w:rsidP="000C77C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700EF73" w14:textId="40430F97" w:rsidR="004E7EDF" w:rsidRPr="00CE3640" w:rsidRDefault="00F077BC" w:rsidP="000C77CB">
            <w:pPr>
              <w:pStyle w:val="Tabledata"/>
              <w:jc w:val="center"/>
            </w:pPr>
            <w:r>
              <w:t>10</w:t>
            </w:r>
          </w:p>
        </w:tc>
        <w:tc>
          <w:tcPr>
            <w:tcW w:w="1069" w:type="dxa"/>
          </w:tcPr>
          <w:p w14:paraId="29EF076A" w14:textId="67B9F230" w:rsidR="004E7EDF" w:rsidRPr="00CE3640" w:rsidRDefault="00F077BC" w:rsidP="000C77CB">
            <w:pPr>
              <w:pStyle w:val="Tabledata"/>
              <w:jc w:val="center"/>
            </w:pPr>
            <w:r>
              <w:t>1</w:t>
            </w:r>
          </w:p>
        </w:tc>
      </w:tr>
      <w:tr w:rsidR="004E7EDF" w14:paraId="7FA34EB2" w14:textId="77777777" w:rsidTr="000C77CB">
        <w:trPr>
          <w:cantSplit/>
          <w:trHeight w:val="454"/>
        </w:trPr>
        <w:tc>
          <w:tcPr>
            <w:tcW w:w="1601" w:type="dxa"/>
          </w:tcPr>
          <w:p w14:paraId="5313D7FD" w14:textId="52B3C5F4" w:rsidR="004E7EDF" w:rsidRPr="00CE3640" w:rsidRDefault="0012523F" w:rsidP="000C77CB">
            <w:pPr>
              <w:pStyle w:val="Tabledata"/>
            </w:pPr>
            <w:r w:rsidRPr="0012523F">
              <w:t>J8XM 46</w:t>
            </w:r>
          </w:p>
        </w:tc>
        <w:tc>
          <w:tcPr>
            <w:tcW w:w="1475" w:type="dxa"/>
          </w:tcPr>
          <w:p w14:paraId="3B51FA06" w14:textId="57AC803E" w:rsidR="004E7EDF" w:rsidRPr="00CE3640" w:rsidRDefault="00A026AE" w:rsidP="000C77CB">
            <w:pPr>
              <w:pStyle w:val="Tabledata"/>
            </w:pPr>
            <w:r>
              <w:t>SDS 0492</w:t>
            </w:r>
          </w:p>
        </w:tc>
        <w:tc>
          <w:tcPr>
            <w:tcW w:w="3358" w:type="dxa"/>
          </w:tcPr>
          <w:p w14:paraId="52F18E59" w14:textId="13C244EC" w:rsidR="004E7EDF" w:rsidRPr="00CE3640" w:rsidRDefault="00A026AE" w:rsidP="000C77CB">
            <w:pPr>
              <w:pStyle w:val="Tabledata"/>
            </w:pPr>
            <w:r w:rsidRPr="00A026AE">
              <w:t>Providing Personal Tax Administration</w:t>
            </w:r>
          </w:p>
        </w:tc>
        <w:tc>
          <w:tcPr>
            <w:tcW w:w="1068" w:type="dxa"/>
          </w:tcPr>
          <w:p w14:paraId="17EEC1D4" w14:textId="79A90499" w:rsidR="004E7EDF" w:rsidRPr="00CE3640" w:rsidRDefault="00A026AE" w:rsidP="000C77CB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D8E9F28" w14:textId="7159913F" w:rsidR="004E7EDF" w:rsidRPr="00CE3640" w:rsidRDefault="00F077BC" w:rsidP="000C77CB">
            <w:pPr>
              <w:pStyle w:val="Tabledata"/>
              <w:jc w:val="center"/>
            </w:pPr>
            <w:r>
              <w:t>15</w:t>
            </w:r>
          </w:p>
        </w:tc>
        <w:tc>
          <w:tcPr>
            <w:tcW w:w="1069" w:type="dxa"/>
          </w:tcPr>
          <w:p w14:paraId="237CA3C4" w14:textId="1426140D" w:rsidR="004E7EDF" w:rsidRPr="00CE3640" w:rsidRDefault="00F077BC" w:rsidP="000C77CB">
            <w:pPr>
              <w:pStyle w:val="Tabledata"/>
              <w:jc w:val="center"/>
            </w:pPr>
            <w:r>
              <w:t>1</w:t>
            </w:r>
          </w:p>
        </w:tc>
      </w:tr>
    </w:tbl>
    <w:p w14:paraId="74E11C13" w14:textId="3AF909E7" w:rsidR="00203855" w:rsidRDefault="00203855">
      <w:pPr>
        <w:spacing w:after="160" w:line="259" w:lineRule="auto"/>
        <w:rPr>
          <w:lang w:val="en-US"/>
        </w:rPr>
      </w:pPr>
    </w:p>
    <w:p w14:paraId="29524B46" w14:textId="1762A26D" w:rsidR="00EE5717" w:rsidRDefault="002B6A20" w:rsidP="00CE3640">
      <w:pPr>
        <w:pStyle w:val="Templateversion"/>
      </w:pPr>
      <w:r>
        <w:t xml:space="preserve">Template version: </w:t>
      </w:r>
      <w:r w:rsidR="004E7EDF">
        <w:t>May 2025</w:t>
      </w:r>
    </w:p>
    <w:sectPr w:rsidR="00EE57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7BD7" w14:textId="77777777" w:rsidR="00325303" w:rsidRDefault="00325303" w:rsidP="00B95071">
      <w:r>
        <w:separator/>
      </w:r>
    </w:p>
  </w:endnote>
  <w:endnote w:type="continuationSeparator" w:id="0">
    <w:p w14:paraId="64FE1C1B" w14:textId="77777777" w:rsidR="00325303" w:rsidRDefault="00325303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180005B5" w:rsidR="00B95071" w:rsidRPr="00916D6E" w:rsidRDefault="00BC51CB" w:rsidP="00916D6E">
    <w:pPr>
      <w:pStyle w:val="Footer"/>
      <w:pBdr>
        <w:top w:val="single" w:sz="4" w:space="1" w:color="auto"/>
      </w:pBdr>
    </w:pPr>
    <w:r w:rsidRPr="00BC51CB">
      <w:t>GV9L 46</w:t>
    </w:r>
    <w:r w:rsidR="002B6A20">
      <w:t xml:space="preserve">: </w:t>
    </w:r>
    <w:r w:rsidR="00B20F67">
      <w:t xml:space="preserve">NMA ACD </w:t>
    </w:r>
    <w:r w:rsidR="00A026AE">
      <w:t>Diploma in Accounting at SCQF level 6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9F99" w14:textId="77777777" w:rsidR="00325303" w:rsidRDefault="00325303" w:rsidP="00B95071">
      <w:r>
        <w:separator/>
      </w:r>
    </w:p>
  </w:footnote>
  <w:footnote w:type="continuationSeparator" w:id="0">
    <w:p w14:paraId="5FEA2952" w14:textId="77777777" w:rsidR="00325303" w:rsidRDefault="00325303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4124C"/>
    <w:rsid w:val="000770FF"/>
    <w:rsid w:val="000D6889"/>
    <w:rsid w:val="000E52A4"/>
    <w:rsid w:val="0012523F"/>
    <w:rsid w:val="00156F36"/>
    <w:rsid w:val="00157466"/>
    <w:rsid w:val="001851E9"/>
    <w:rsid w:val="001A2D35"/>
    <w:rsid w:val="00200406"/>
    <w:rsid w:val="00203855"/>
    <w:rsid w:val="00230FDE"/>
    <w:rsid w:val="00241B0D"/>
    <w:rsid w:val="002B6A20"/>
    <w:rsid w:val="002F3500"/>
    <w:rsid w:val="00322638"/>
    <w:rsid w:val="00325303"/>
    <w:rsid w:val="0035746A"/>
    <w:rsid w:val="00376B29"/>
    <w:rsid w:val="0039630F"/>
    <w:rsid w:val="00412EDC"/>
    <w:rsid w:val="004531B8"/>
    <w:rsid w:val="00473802"/>
    <w:rsid w:val="004C6AAB"/>
    <w:rsid w:val="004E7EDF"/>
    <w:rsid w:val="0055580D"/>
    <w:rsid w:val="005644B8"/>
    <w:rsid w:val="005B3DA6"/>
    <w:rsid w:val="005C4955"/>
    <w:rsid w:val="005F6843"/>
    <w:rsid w:val="00600367"/>
    <w:rsid w:val="00642042"/>
    <w:rsid w:val="006540C7"/>
    <w:rsid w:val="00663D9D"/>
    <w:rsid w:val="006665BB"/>
    <w:rsid w:val="00683C00"/>
    <w:rsid w:val="0073054A"/>
    <w:rsid w:val="00731456"/>
    <w:rsid w:val="007A49BD"/>
    <w:rsid w:val="00851BB6"/>
    <w:rsid w:val="008C25E0"/>
    <w:rsid w:val="008D16BD"/>
    <w:rsid w:val="008D2E4D"/>
    <w:rsid w:val="009111A7"/>
    <w:rsid w:val="00916D6E"/>
    <w:rsid w:val="00920579"/>
    <w:rsid w:val="0092302D"/>
    <w:rsid w:val="00942F6B"/>
    <w:rsid w:val="00953F1F"/>
    <w:rsid w:val="00972290"/>
    <w:rsid w:val="009D2652"/>
    <w:rsid w:val="00A026AE"/>
    <w:rsid w:val="00A042FF"/>
    <w:rsid w:val="00A753B6"/>
    <w:rsid w:val="00AA5CD1"/>
    <w:rsid w:val="00AB2647"/>
    <w:rsid w:val="00AB45DD"/>
    <w:rsid w:val="00B20F67"/>
    <w:rsid w:val="00B22388"/>
    <w:rsid w:val="00B233E6"/>
    <w:rsid w:val="00B23624"/>
    <w:rsid w:val="00B3726B"/>
    <w:rsid w:val="00B44AA6"/>
    <w:rsid w:val="00B46FF6"/>
    <w:rsid w:val="00B95071"/>
    <w:rsid w:val="00BC51CB"/>
    <w:rsid w:val="00BD2A32"/>
    <w:rsid w:val="00C01CC6"/>
    <w:rsid w:val="00C333B2"/>
    <w:rsid w:val="00C36F7E"/>
    <w:rsid w:val="00C70EFF"/>
    <w:rsid w:val="00C95234"/>
    <w:rsid w:val="00CE3640"/>
    <w:rsid w:val="00CF3D53"/>
    <w:rsid w:val="00D2630C"/>
    <w:rsid w:val="00D50F3F"/>
    <w:rsid w:val="00D941E1"/>
    <w:rsid w:val="00E738B7"/>
    <w:rsid w:val="00E82ED7"/>
    <w:rsid w:val="00E97E46"/>
    <w:rsid w:val="00EA2F16"/>
    <w:rsid w:val="00ED0039"/>
    <w:rsid w:val="00EE330F"/>
    <w:rsid w:val="00EE5717"/>
    <w:rsid w:val="00F077BC"/>
    <w:rsid w:val="00F56FF6"/>
    <w:rsid w:val="00F951A9"/>
    <w:rsid w:val="00FB447F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6E5AFD2"/>
  <w15:chartTrackingRefBased/>
  <w15:docId w15:val="{D09C52BC-7E4A-45AF-B8B3-39751133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5644B8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644B8"/>
    <w:rPr>
      <w:rFonts w:ascii="Arial" w:eastAsiaTheme="majorEastAsia" w:hAnsi="Arial" w:cstheme="majorBidi"/>
      <w:b/>
      <w:color w:val="1F3763" w:themeColor="accent1" w:themeShade="7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7ED50-AEED-490C-BD13-CE7B6E8E43E8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24fd3ba-0a78-406f-a768-509ae3d3efc9"/>
  </ds:schemaRefs>
</ds:datastoreItem>
</file>

<file path=customXml/itemProps2.xml><?xml version="1.0" encoding="utf-8"?>
<ds:datastoreItem xmlns:ds="http://schemas.openxmlformats.org/officeDocument/2006/customXml" ds:itemID="{57B83129-F592-4E47-9FA9-706E0CD16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E76BC-0B1C-497F-895E-83448B16A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Customer Facing Structure</dc:title>
  <dc:subject>SVQ</dc:subject>
  <dc:creator>Jean Cameron</dc:creator>
  <cp:keywords/>
  <dc:description/>
  <cp:lastModifiedBy>Jean Cameron</cp:lastModifiedBy>
  <cp:revision>3</cp:revision>
  <dcterms:created xsi:type="dcterms:W3CDTF">2025-06-18T07:40:00Z</dcterms:created>
  <dcterms:modified xsi:type="dcterms:W3CDTF">2025-06-18T07:47:00Z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