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15352" w14:paraId="79070678" w14:textId="77777777" w:rsidTr="00855000">
        <w:trPr>
          <w:trHeight w:val="1931"/>
        </w:trPr>
        <w:tc>
          <w:tcPr>
            <w:tcW w:w="14029" w:type="dxa"/>
            <w:shd w:val="clear" w:color="auto" w:fill="auto"/>
          </w:tcPr>
          <w:p w14:paraId="122AF79E" w14:textId="5213113A" w:rsidR="00F15352" w:rsidRPr="00543681" w:rsidRDefault="00D22255" w:rsidP="004839BB">
            <w:pPr>
              <w:rPr>
                <w:b/>
                <w:bCs/>
              </w:rPr>
            </w:pPr>
            <w:r w:rsidRPr="00543681">
              <w:rPr>
                <w:b/>
                <w:bCs/>
              </w:rPr>
              <w:t>SQA Connections Week – SVQ Business and Administration</w:t>
            </w:r>
          </w:p>
          <w:p w14:paraId="156A13EF" w14:textId="77777777" w:rsidR="00F15352" w:rsidRPr="00543681" w:rsidRDefault="00F15352" w:rsidP="004839BB">
            <w:pPr>
              <w:rPr>
                <w:b/>
                <w:bCs/>
              </w:rPr>
            </w:pPr>
          </w:p>
          <w:p w14:paraId="218B7FC2" w14:textId="77777777" w:rsidR="00F15352" w:rsidRPr="00543681" w:rsidRDefault="00F15352" w:rsidP="004839BB">
            <w:pPr>
              <w:rPr>
                <w:b/>
                <w:bCs/>
              </w:rPr>
            </w:pPr>
          </w:p>
          <w:p w14:paraId="7FB0F756" w14:textId="02F50C5E" w:rsidR="00F15352" w:rsidRPr="00543681" w:rsidRDefault="00F15352" w:rsidP="004839BB">
            <w:r w:rsidRPr="00543681">
              <w:rPr>
                <w:b/>
                <w:bCs/>
              </w:rPr>
              <w:t>Date</w:t>
            </w:r>
            <w:r w:rsidRPr="00543681">
              <w:t xml:space="preserve">: </w:t>
            </w:r>
            <w:r w:rsidR="00D22255" w:rsidRPr="00543681">
              <w:t>02/10</w:t>
            </w:r>
            <w:r w:rsidR="00D40FD4" w:rsidRPr="00543681">
              <w:t>/2023</w:t>
            </w:r>
          </w:p>
          <w:p w14:paraId="21E124F2" w14:textId="77777777" w:rsidR="00F15352" w:rsidRPr="00543681" w:rsidRDefault="00F15352" w:rsidP="004839BB">
            <w:pPr>
              <w:rPr>
                <w:b/>
                <w:bCs/>
              </w:rPr>
            </w:pPr>
          </w:p>
          <w:p w14:paraId="37880A7C" w14:textId="436D939F" w:rsidR="00543681" w:rsidRPr="00543681" w:rsidRDefault="00543681" w:rsidP="004839BB">
            <w:pPr>
              <w:rPr>
                <w:b/>
                <w:bCs/>
              </w:rPr>
            </w:pPr>
            <w:r w:rsidRPr="00543681">
              <w:rPr>
                <w:b/>
                <w:bCs/>
              </w:rPr>
              <w:t xml:space="preserve">Presenters: </w:t>
            </w:r>
            <w:r w:rsidRPr="00543681">
              <w:t>Donnie Carthew, Tony Hamilton</w:t>
            </w:r>
            <w:r w:rsidR="002253BE">
              <w:t xml:space="preserve"> (SQA)</w:t>
            </w:r>
          </w:p>
        </w:tc>
      </w:tr>
      <w:tr w:rsidR="00855000" w14:paraId="71B5E69F" w14:textId="77777777" w:rsidTr="00855000">
        <w:trPr>
          <w:trHeight w:val="536"/>
        </w:trPr>
        <w:tc>
          <w:tcPr>
            <w:tcW w:w="14029" w:type="dxa"/>
            <w:shd w:val="clear" w:color="auto" w:fill="D0CECE" w:themeFill="background2" w:themeFillShade="E6"/>
          </w:tcPr>
          <w:p w14:paraId="3BF9E761" w14:textId="079EF929" w:rsidR="00855000" w:rsidRDefault="00855000" w:rsidP="00543681">
            <w:r>
              <w:t>Notes</w:t>
            </w:r>
          </w:p>
        </w:tc>
      </w:tr>
      <w:tr w:rsidR="00855000" w14:paraId="0FDD9F8A" w14:textId="77777777" w:rsidTr="00855000">
        <w:trPr>
          <w:trHeight w:val="788"/>
        </w:trPr>
        <w:tc>
          <w:tcPr>
            <w:tcW w:w="14029" w:type="dxa"/>
          </w:tcPr>
          <w:p w14:paraId="25974C83" w14:textId="57CE8E48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  <w:u w:val="single"/>
              </w:rPr>
            </w:pPr>
            <w:r w:rsidRPr="00741F3B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u w:val="single"/>
                <w:bdr w:val="none" w:sz="0" w:space="0" w:color="auto" w:frame="1"/>
              </w:rPr>
              <w:t>New Mandatory Units</w:t>
            </w:r>
          </w:p>
          <w:p w14:paraId="385F0FDD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31F055B2" w14:textId="256E5A3C" w:rsidR="00855000" w:rsidRPr="00A56623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J6WX 04 Communicate in a </w:t>
            </w:r>
            <w: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b</w:t>
            </w:r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usiness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e</w:t>
            </w:r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nvironment</w:t>
            </w:r>
            <w:proofErr w:type="gramEnd"/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6C146148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382C27DD" w14:textId="52D671E2" w:rsidR="00855000" w:rsidRPr="00A56623" w:rsidRDefault="00855000" w:rsidP="00A56623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There are now 68 criteria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(PCs and K &amp; U) 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up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from 41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1A9FCD93" w14:textId="77777777" w:rsidR="00855000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44AAE902" w14:textId="11022706" w:rsidR="00855000" w:rsidRPr="00A56623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Participants were less concerned about the </w:t>
            </w:r>
            <w:proofErr w:type="gramStart"/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increase</w:t>
            </w:r>
            <w:proofErr w:type="gramEnd"/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number of criteria as different criteria could be easily linked together.</w:t>
            </w:r>
          </w:p>
          <w:p w14:paraId="3E6BB27B" w14:textId="77777777" w:rsidR="00855000" w:rsidRPr="00741F3B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3FAEB94F" w14:textId="0D442F18" w:rsidR="00855000" w:rsidRPr="00741F3B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firstLine="5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4851F1BE" w14:textId="464D3427" w:rsidR="00855000" w:rsidRPr="00A56623" w:rsidRDefault="00855000" w:rsidP="00A56623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PC 5 Identify and use the digital technologies and collaboration platforms for different types of communications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32BBF9A1" w14:textId="77777777" w:rsidR="00855000" w:rsidRPr="00A56623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23624C48" w14:textId="2A9C046A" w:rsidR="00855000" w:rsidRPr="00A56623" w:rsidRDefault="00855000" w:rsidP="00A56623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Some discussion on the term Collaboration Platform - agreed that 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Microsoft </w:t>
            </w:r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Teams and </w:t>
            </w:r>
            <w:proofErr w:type="spellStart"/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Sharepoint</w:t>
            </w:r>
            <w:proofErr w:type="spellEnd"/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could be </w:t>
            </w:r>
            <w:proofErr w:type="gramStart"/>
            <w:r w:rsidRPr="00A5662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used</w:t>
            </w:r>
            <w:proofErr w:type="gramEnd"/>
          </w:p>
          <w:p w14:paraId="0D152267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5F5EAC46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4E03F3A3" w14:textId="0F088524" w:rsidR="00855000" w:rsidRPr="00A56623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J6WV 04 </w:t>
            </w:r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Develop self and improve own </w:t>
            </w:r>
            <w:proofErr w:type="gramStart"/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performance</w:t>
            </w:r>
            <w:proofErr w:type="gramEnd"/>
            <w:r w:rsidRPr="00A56623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08A697E0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7A1D0FD0" w14:textId="7EC088AC" w:rsidR="00855000" w:rsidRPr="00741F3B" w:rsidRDefault="00855000" w:rsidP="00E77650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There are now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54 criteria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,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up from 41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31494AA5" w14:textId="77777777" w:rsidR="00855000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0DFFFC70" w14:textId="3E97ABC1" w:rsidR="00855000" w:rsidRPr="00855000" w:rsidRDefault="00855000" w:rsidP="00686720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Treatment of Behaviours - previously 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candidates weren’t required to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provide evidence re the Behaviours - these behaviours are now incorporated into the 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u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nit.  One participant stated this was “a back door into the Unit”.</w:t>
            </w:r>
          </w:p>
          <w:p w14:paraId="7ADAF65E" w14:textId="77777777" w:rsidR="00855000" w:rsidRDefault="00855000" w:rsidP="00855000">
            <w:pPr>
              <w:pStyle w:val="ListParagraph"/>
              <w:rPr>
                <w:rFonts w:cstheme="minorHAnsi"/>
                <w:color w:val="242424"/>
              </w:rPr>
            </w:pPr>
          </w:p>
          <w:p w14:paraId="7E97DCF1" w14:textId="77777777" w:rsidR="00855000" w:rsidRDefault="00855000" w:rsidP="0085500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1FFAFB3D" w14:textId="77777777" w:rsidR="00855000" w:rsidRPr="00741F3B" w:rsidRDefault="00855000" w:rsidP="0085500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30841F78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57B7FCB5" w14:textId="163B864F" w:rsidR="00855000" w:rsidRPr="009C7B9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r w:rsidRPr="009C7B9B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lastRenderedPageBreak/>
              <w:t xml:space="preserve">PC 25 and 27 </w:t>
            </w:r>
          </w:p>
          <w:p w14:paraId="48669BD9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2375A37C" w14:textId="77777777" w:rsidR="00855000" w:rsidRPr="00741F3B" w:rsidRDefault="00855000" w:rsidP="009C7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PC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25  Use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emotional intelligence to recognise and evaluate your own and your colleagues strengths and weaknesses, feelings, opinions and judgements.</w:t>
            </w:r>
          </w:p>
          <w:p w14:paraId="730D82BE" w14:textId="5A5E9F91" w:rsidR="00855000" w:rsidRPr="00741F3B" w:rsidRDefault="00855000" w:rsidP="009C7B9B">
            <w:pPr>
              <w:pStyle w:val="xmsonormal"/>
              <w:shd w:val="clear" w:color="auto" w:fill="FFFFFF"/>
              <w:spacing w:before="0" w:beforeAutospacing="0" w:after="0" w:afterAutospacing="0"/>
              <w:ind w:firstLine="5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685DA3CA" w14:textId="77777777" w:rsidR="00855000" w:rsidRPr="00741F3B" w:rsidRDefault="00855000" w:rsidP="009C7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PC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27  Take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actions to maintain your well-being, mental health, balance between your professional and personal life, when required </w:t>
            </w:r>
          </w:p>
          <w:p w14:paraId="6B616475" w14:textId="7B1C709D" w:rsidR="00855000" w:rsidRPr="00741F3B" w:rsidRDefault="00855000" w:rsidP="009C7B9B">
            <w:pPr>
              <w:pStyle w:val="xmsonormal"/>
              <w:shd w:val="clear" w:color="auto" w:fill="FFFFFF"/>
              <w:spacing w:before="0" w:beforeAutospacing="0" w:after="0" w:afterAutospacing="0"/>
              <w:ind w:firstLine="5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66F825FD" w14:textId="77777777" w:rsidR="00855000" w:rsidRPr="009904E0" w:rsidRDefault="00855000" w:rsidP="00543681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These two PCs created a lot of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discussion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58D6483B" w14:textId="77777777" w:rsidR="00855000" w:rsidRDefault="00855000" w:rsidP="009904E0">
            <w:pPr>
              <w:pStyle w:val="ListParagraph"/>
              <w:rPr>
                <w:rFonts w:cstheme="minorHAnsi"/>
                <w:color w:val="454545"/>
                <w:bdr w:val="none" w:sz="0" w:space="0" w:color="auto" w:frame="1"/>
              </w:rPr>
            </w:pPr>
          </w:p>
          <w:p w14:paraId="5CBCB220" w14:textId="37C6F6D5" w:rsidR="00855000" w:rsidRPr="009C7B9B" w:rsidRDefault="00855000" w:rsidP="009904E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Participants suggested:</w:t>
            </w:r>
          </w:p>
          <w:p w14:paraId="4E0A6B69" w14:textId="77777777" w:rsidR="00855000" w:rsidRDefault="00855000" w:rsidP="009C7B9B">
            <w:pPr>
              <w:pStyle w:val="ListParagraph"/>
              <w:rPr>
                <w:rFonts w:cstheme="minorHAnsi"/>
                <w:color w:val="454545"/>
                <w:bdr w:val="none" w:sz="0" w:space="0" w:color="auto" w:frame="1"/>
              </w:rPr>
            </w:pPr>
          </w:p>
          <w:p w14:paraId="710B969E" w14:textId="77777777" w:rsidR="00855000" w:rsidRDefault="00855000" w:rsidP="009904E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9904E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PC 25 -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“Use of Professional Discussion”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“Personal SWOT Analysis”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“SWOT Analysis by colleagues”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“Use of Performance Review (annual or half yearly)”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“Quarterly Review”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“Skills Scan, Meta Skills”</w:t>
            </w:r>
          </w:p>
          <w:p w14:paraId="1F4F8EE9" w14:textId="77777777" w:rsidR="00855000" w:rsidRDefault="00855000" w:rsidP="009904E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6C39B8C3" w14:textId="77777777" w:rsidR="00855000" w:rsidRDefault="00855000" w:rsidP="005241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9904E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PC 27</w:t>
            </w:r>
            <w: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 -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Use of the above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in addition to: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“Dress down Friday”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“Use of Flexitime”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</w:t>
            </w:r>
            <w:proofErr w:type="spell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Build up</w:t>
            </w:r>
            <w:proofErr w:type="spell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of excessive hours/ensuring staff are taking holidays due to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them”</w:t>
            </w:r>
            <w:proofErr w:type="gramEnd"/>
          </w:p>
          <w:p w14:paraId="1A4FB867" w14:textId="77777777" w:rsidR="00855000" w:rsidRDefault="00855000" w:rsidP="005241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79BA33AA" w14:textId="466D55E7" w:rsidR="00855000" w:rsidRPr="00741F3B" w:rsidRDefault="00855000" w:rsidP="005241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All of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the above will be captured during some form of discussion along with some Work Product Evidence if possible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775CF9B0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44E3DBBC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74718C71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1A528131" w14:textId="7AF2B46B" w:rsidR="00855000" w:rsidRPr="00855000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85500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 J6WW 04 -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5500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Undertake and support work practices in a business </w:t>
            </w:r>
            <w:proofErr w:type="gramStart"/>
            <w:r w:rsidRPr="0085500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environment</w:t>
            </w:r>
            <w:proofErr w:type="gramEnd"/>
            <w:r w:rsidRPr="00855000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6A32E580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3D9B6240" w14:textId="6951B603" w:rsidR="00855000" w:rsidRPr="00741F3B" w:rsidRDefault="00855000" w:rsidP="0048053F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There are now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53 criteri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up from 35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0D1509AB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377053BB" w14:textId="77777777" w:rsidR="0048053F" w:rsidRPr="0048053F" w:rsidRDefault="00855000" w:rsidP="00EF42B2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48053F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PCs 5, 14, 21, 25</w:t>
            </w:r>
          </w:p>
          <w:p w14:paraId="6B48F490" w14:textId="77777777" w:rsidR="0048053F" w:rsidRDefault="0048053F" w:rsidP="0048053F">
            <w:pPr>
              <w:pStyle w:val="ListParagraph"/>
              <w:rPr>
                <w:rFonts w:cstheme="minorHAnsi"/>
                <w:color w:val="454545"/>
                <w:bdr w:val="none" w:sz="0" w:space="0" w:color="auto" w:frame="1"/>
              </w:rPr>
            </w:pPr>
          </w:p>
          <w:p w14:paraId="12C72773" w14:textId="77777777" w:rsidR="0048053F" w:rsidRDefault="00855000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Participa</w:t>
            </w:r>
            <w:r w:rsidR="006D4129" w:rsidRP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nt</w:t>
            </w:r>
            <w:r w:rsidRP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stated that “this will be hard for a learner to demonstrate in a large organisation where policies, procedures and working practices are agreed nationally and also in small organisations where </w:t>
            </w:r>
            <w:r w:rsidR="006D4129" w:rsidRP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m</w:t>
            </w:r>
            <w:r w:rsidRP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anagement dictate this”.  “To ask a candidate to demonstrate where they have improved or make changes in these areas is a tall ask”.</w:t>
            </w:r>
            <w:r w:rsidR="0048053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470BD09A" w14:textId="77777777" w:rsidR="0048053F" w:rsidRDefault="0048053F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018B775A" w14:textId="531B54A0" w:rsidR="00855000" w:rsidRPr="00741F3B" w:rsidRDefault="00855000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One suggestion was to look at evidence relating to the working practices that specifically affect their job role and their role in any changes that have had a</w:t>
            </w:r>
            <w:r w:rsidR="00517E7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wider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impact</w:t>
            </w:r>
            <w:r w:rsidR="00517E73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5E6E6134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14:paraId="1134F86F" w14:textId="77777777" w:rsidR="0048053F" w:rsidRPr="0048053F" w:rsidRDefault="00855000" w:rsidP="00543681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There was also some discussion relating to the Support Diversity section of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PCs</w:t>
            </w:r>
            <w:proofErr w:type="gramEnd"/>
          </w:p>
          <w:p w14:paraId="77DD8396" w14:textId="77777777" w:rsidR="0048053F" w:rsidRDefault="0048053F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5193C88B" w14:textId="77777777" w:rsidR="0048053F" w:rsidRDefault="00855000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</w:pPr>
            <w:r w:rsidRPr="0048053F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PCs 13 to 17</w:t>
            </w:r>
            <w:r w:rsidR="0048053F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5538FA28" w14:textId="77777777" w:rsidR="0048053F" w:rsidRDefault="0048053F" w:rsidP="0048053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48E97C61" w14:textId="77777777" w:rsidR="00835ABB" w:rsidRDefault="00855000" w:rsidP="00835AB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One very positive comment during this discussion from one participant was to “look at diversity in the wider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sense”  For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example “Age”</w:t>
            </w:r>
            <w:r w:rsidR="00835AB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-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this was a very helpful suggestion.</w:t>
            </w:r>
          </w:p>
          <w:p w14:paraId="26E3F757" w14:textId="77777777" w:rsidR="00835ABB" w:rsidRDefault="00835ABB" w:rsidP="00835AB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1FE7AF1F" w14:textId="77777777" w:rsidR="00835ABB" w:rsidRDefault="00855000" w:rsidP="00835AB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Other suggestions:</w:t>
            </w:r>
          </w:p>
          <w:p w14:paraId="2F6A8EC5" w14:textId="77777777" w:rsidR="00835ABB" w:rsidRDefault="00835ABB" w:rsidP="00835AB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020BFD26" w14:textId="77777777" w:rsidR="007726F1" w:rsidRDefault="00855000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Some participants suggested covering Diversity during </w:t>
            </w:r>
            <w:r w:rsidR="00835AB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i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nduction - they mentioned MASA and </w:t>
            </w:r>
            <w:proofErr w:type="spell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LearnPro</w:t>
            </w:r>
            <w:proofErr w:type="spellEnd"/>
            <w:r w:rsidR="00835AB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662D385A" w14:textId="77777777" w:rsidR="007726F1" w:rsidRDefault="007726F1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3156969D" w14:textId="77777777" w:rsidR="007726F1" w:rsidRDefault="00855000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 overall suggestion was to use </w:t>
            </w:r>
            <w:r w:rsidR="007726F1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rofessional </w:t>
            </w:r>
            <w:r w:rsidR="007726F1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d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iscussions</w:t>
            </w:r>
            <w:r w:rsidR="007726F1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6D4E77DC" w14:textId="77777777" w:rsidR="007726F1" w:rsidRDefault="007726F1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7451E590" w14:textId="42235BDB" w:rsidR="007726F1" w:rsidRDefault="00855000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Some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articipants thought th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ere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might be some concern about using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rofessional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d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iscussions as it is not been used in the past as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erformance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e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vidence in the coverage of PCs.</w:t>
            </w:r>
          </w:p>
          <w:p w14:paraId="3D2314D8" w14:textId="77777777" w:rsidR="007726F1" w:rsidRDefault="007726F1" w:rsidP="007726F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25320355" w14:textId="77777777" w:rsidR="008115D1" w:rsidRDefault="00855000" w:rsidP="008115D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However</w:t>
            </w:r>
            <w:r w:rsidR="008115D1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,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the inclusion of the above will be difficult to assess as Observation and Work Product so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rofessional </w:t>
            </w:r>
            <w:r w:rsidR="00640AB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d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iscussion is an obvious way to cover these areas.</w:t>
            </w:r>
          </w:p>
          <w:p w14:paraId="1AC099B6" w14:textId="77777777" w:rsidR="008115D1" w:rsidRDefault="008115D1" w:rsidP="008115D1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671BDEDC" w14:textId="2B2862BC" w:rsidR="00855000" w:rsidRPr="00741F3B" w:rsidRDefault="008115D1" w:rsidP="00C90FD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C90FD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n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etwork </w:t>
            </w:r>
            <w:r w:rsidR="00C90FD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g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roup were informed that this would be t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ake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n t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o the </w:t>
            </w:r>
            <w:r w:rsidR="002D4C2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tandardisation </w:t>
            </w:r>
            <w:r w:rsidR="002D4C2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m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eeting of the EV Team </w:t>
            </w: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on 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25 November 2023 and then feedback </w:t>
            </w:r>
            <w:r w:rsidR="00C90FD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will be provided 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to the </w:t>
            </w:r>
            <w:r w:rsidR="00C90FD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n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etwork.</w:t>
            </w:r>
            <w:r w:rsidR="00C90FD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E54E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This will be highlighted at the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earliest opportunity so that </w:t>
            </w:r>
            <w:r w:rsidR="002D4C2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SQA can confirm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a standardised approach to the evidence assessors and E</w:t>
            </w:r>
            <w:r w:rsidR="002D4C2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xternal 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V</w:t>
            </w:r>
            <w:r w:rsidR="002D4C2F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erifier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 will accept.</w:t>
            </w:r>
          </w:p>
          <w:p w14:paraId="33417AC2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720F4056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4E24179B" w14:textId="77777777" w:rsidR="00855000" w:rsidRPr="002D4C2F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r w:rsidRPr="002D4C2F"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  <w:bdr w:val="none" w:sz="0" w:space="0" w:color="auto" w:frame="1"/>
              </w:rPr>
              <w:t>Foundation Apprenticeship 2022 - 2023</w:t>
            </w:r>
          </w:p>
          <w:p w14:paraId="59AA7298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6FAFFA20" w14:textId="77777777" w:rsidR="00D82006" w:rsidRPr="00D82006" w:rsidRDefault="00855000" w:rsidP="00543681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From the sample:</w:t>
            </w:r>
          </w:p>
          <w:p w14:paraId="367A2BA9" w14:textId="77777777" w:rsidR="00D82006" w:rsidRDefault="00D82006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030F12B4" w14:textId="77777777" w:rsidR="00D82006" w:rsidRDefault="00855000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D82006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Some very good delivery models</w:t>
            </w:r>
          </w:p>
          <w:p w14:paraId="526F669D" w14:textId="77777777" w:rsidR="00D82006" w:rsidRDefault="00D82006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74A11D2D" w14:textId="77777777" w:rsidR="00D82006" w:rsidRDefault="00855000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Some centres have a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2 year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model and others a one year models</w:t>
            </w:r>
          </w:p>
          <w:p w14:paraId="07BB3A5A" w14:textId="77777777" w:rsidR="00D82006" w:rsidRDefault="00D82006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7A6E0350" w14:textId="77777777" w:rsidR="00D82006" w:rsidRDefault="00855000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lastRenderedPageBreak/>
              <w:t xml:space="preserve">The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2 year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model creates more time for the work placement and obviously more time to collect evidence for the SVQ units.</w:t>
            </w:r>
          </w:p>
          <w:p w14:paraId="3FC5F5A3" w14:textId="77777777" w:rsidR="00D82006" w:rsidRDefault="00D82006" w:rsidP="00D8200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530A930B" w14:textId="77777777" w:rsidR="0082554D" w:rsidRDefault="00855000" w:rsidP="0082554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A good work placement is a valuable experience for the candidates</w:t>
            </w:r>
            <w:r w:rsidR="00D82006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45339082" w14:textId="77777777" w:rsidR="0082554D" w:rsidRDefault="0082554D" w:rsidP="0082554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10754D9D" w14:textId="77777777" w:rsidR="00627DCD" w:rsidRDefault="00855000" w:rsidP="00627DC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Work </w:t>
            </w:r>
            <w:r w:rsidR="0082554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lacements and/or </w:t>
            </w:r>
            <w:r w:rsidR="0082554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c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entres had come up with some very creative projects for candidates to undertake as evidence for the Work Based Challenge Unit and the SVQ unit - Design and </w:t>
            </w:r>
            <w:r w:rsidR="00627DC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roduce </w:t>
            </w:r>
            <w:r w:rsidR="00031174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documents in a business environment. </w:t>
            </w:r>
          </w:p>
          <w:p w14:paraId="534A9E11" w14:textId="77777777" w:rsidR="00627DCD" w:rsidRDefault="00627DCD" w:rsidP="00627DC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208A0DDC" w14:textId="77777777" w:rsidR="00627DCD" w:rsidRDefault="00855000" w:rsidP="00627DC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Although it would appear easier to use the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2 year</w:t>
            </w:r>
            <w:proofErr w:type="gramEnd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model there were also some very good examples of the one year delivery model</w:t>
            </w:r>
            <w:r w:rsidR="00627DC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.</w:t>
            </w:r>
          </w:p>
          <w:p w14:paraId="6F7F52CA" w14:textId="77777777" w:rsidR="00627DCD" w:rsidRDefault="00627DCD" w:rsidP="00627DC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0D188225" w14:textId="7F4D7981" w:rsidR="00AE6A1C" w:rsidRDefault="00855000" w:rsidP="00650EAB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The Design and </w:t>
            </w:r>
            <w:r w:rsidR="00627DC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p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roduce</w:t>
            </w:r>
            <w:r w:rsidR="00627DCD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documents in a business environment u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nit also acts as an “umbrella </w:t>
            </w:r>
            <w:proofErr w:type="gramStart"/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“ unit</w:t>
            </w:r>
            <w:proofErr w:type="gramEnd"/>
            <w:r w:rsidR="009F1A82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- 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the evidence from this unit can be cross referenced into the other SVQ/Customised units - the evidence drips off the </w:t>
            </w:r>
            <w:r w:rsidR="009F1A82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u</w:t>
            </w: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mbrella unit into the other units.</w:t>
            </w:r>
          </w:p>
          <w:p w14:paraId="04482088" w14:textId="77777777" w:rsidR="00AE6A1C" w:rsidRDefault="00AE6A1C" w:rsidP="00AE6A1C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</w:p>
          <w:p w14:paraId="3EEFFF49" w14:textId="06C1328F" w:rsidR="00AE6A1C" w:rsidRDefault="003C2AF3" w:rsidP="00AE6A1C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Donnie </w:t>
            </w:r>
            <w:r w:rsidR="00650EA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suggested that it would be good</w:t>
            </w:r>
            <w:r w:rsidR="00855000"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 xml:space="preserve"> to record 2 or 3 of these different models in more detail - a bit like producing a type of Understanding Standards for Foundation Apprenticeship.  If we had this, centres could look at this material and follow the good practice shown.</w:t>
            </w:r>
          </w:p>
          <w:p w14:paraId="2B086B5D" w14:textId="043D4E42" w:rsidR="00855000" w:rsidRPr="00AE6A1C" w:rsidRDefault="00855000" w:rsidP="00AE6A1C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The result would be an improved delivery model for all.</w:t>
            </w:r>
          </w:p>
          <w:p w14:paraId="7D0BA58C" w14:textId="77777777" w:rsidR="00855000" w:rsidRPr="00741F3B" w:rsidRDefault="00855000" w:rsidP="005436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F3B">
              <w:rPr>
                <w:rFonts w:asciiTheme="minorHAnsi" w:hAnsiTheme="minorHAnsi" w:cstheme="minorHAnsi"/>
                <w:color w:val="454545"/>
                <w:sz w:val="22"/>
                <w:szCs w:val="22"/>
                <w:bdr w:val="none" w:sz="0" w:space="0" w:color="auto" w:frame="1"/>
              </w:rPr>
              <w:t> </w:t>
            </w:r>
          </w:p>
          <w:p w14:paraId="178A8043" w14:textId="05D8DE6D" w:rsidR="00855000" w:rsidRPr="00741F3B" w:rsidRDefault="00855000" w:rsidP="004839BB">
            <w:pPr>
              <w:rPr>
                <w:rFonts w:cstheme="minorHAnsi"/>
              </w:rPr>
            </w:pPr>
          </w:p>
        </w:tc>
      </w:tr>
    </w:tbl>
    <w:p w14:paraId="5AAD7E21" w14:textId="77777777" w:rsidR="00511013" w:rsidRDefault="00511013"/>
    <w:sectPr w:rsidR="00511013" w:rsidSect="00F153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2C3"/>
    <w:multiLevelType w:val="hybridMultilevel"/>
    <w:tmpl w:val="2E84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10CE"/>
    <w:multiLevelType w:val="hybridMultilevel"/>
    <w:tmpl w:val="6E4A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B6F"/>
    <w:multiLevelType w:val="hybridMultilevel"/>
    <w:tmpl w:val="5BA8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402">
    <w:abstractNumId w:val="2"/>
  </w:num>
  <w:num w:numId="2" w16cid:durableId="314652366">
    <w:abstractNumId w:val="0"/>
  </w:num>
  <w:num w:numId="3" w16cid:durableId="96601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2"/>
    <w:rsid w:val="00015194"/>
    <w:rsid w:val="00031174"/>
    <w:rsid w:val="000B0AF1"/>
    <w:rsid w:val="000C4E95"/>
    <w:rsid w:val="000E5946"/>
    <w:rsid w:val="00110754"/>
    <w:rsid w:val="001808CC"/>
    <w:rsid w:val="001B23EF"/>
    <w:rsid w:val="001C1C30"/>
    <w:rsid w:val="002253BE"/>
    <w:rsid w:val="00245EAF"/>
    <w:rsid w:val="002C139C"/>
    <w:rsid w:val="002C40B2"/>
    <w:rsid w:val="002D4C2F"/>
    <w:rsid w:val="002E7C1D"/>
    <w:rsid w:val="0031323C"/>
    <w:rsid w:val="00383C59"/>
    <w:rsid w:val="00386993"/>
    <w:rsid w:val="003C2AF3"/>
    <w:rsid w:val="004153D9"/>
    <w:rsid w:val="004338E6"/>
    <w:rsid w:val="0046573F"/>
    <w:rsid w:val="0048053F"/>
    <w:rsid w:val="004C2CA4"/>
    <w:rsid w:val="00511013"/>
    <w:rsid w:val="00517E73"/>
    <w:rsid w:val="00524145"/>
    <w:rsid w:val="00543681"/>
    <w:rsid w:val="00564B3A"/>
    <w:rsid w:val="00580E19"/>
    <w:rsid w:val="00595BC8"/>
    <w:rsid w:val="005E35C8"/>
    <w:rsid w:val="00627DCD"/>
    <w:rsid w:val="00640ABD"/>
    <w:rsid w:val="00650EAB"/>
    <w:rsid w:val="006833BC"/>
    <w:rsid w:val="00686720"/>
    <w:rsid w:val="006B09B5"/>
    <w:rsid w:val="006D4129"/>
    <w:rsid w:val="00705D5E"/>
    <w:rsid w:val="007272E2"/>
    <w:rsid w:val="00741F3B"/>
    <w:rsid w:val="007726F1"/>
    <w:rsid w:val="007B621A"/>
    <w:rsid w:val="007C7D58"/>
    <w:rsid w:val="00804DB5"/>
    <w:rsid w:val="008115D1"/>
    <w:rsid w:val="0081482B"/>
    <w:rsid w:val="0082554D"/>
    <w:rsid w:val="00835ABB"/>
    <w:rsid w:val="00855000"/>
    <w:rsid w:val="008F0D7E"/>
    <w:rsid w:val="008F3717"/>
    <w:rsid w:val="008F780D"/>
    <w:rsid w:val="0091269F"/>
    <w:rsid w:val="00972F1E"/>
    <w:rsid w:val="009904E0"/>
    <w:rsid w:val="009C60CB"/>
    <w:rsid w:val="009C7B9B"/>
    <w:rsid w:val="009F1A82"/>
    <w:rsid w:val="00A2716D"/>
    <w:rsid w:val="00A43CB0"/>
    <w:rsid w:val="00A56623"/>
    <w:rsid w:val="00A950D8"/>
    <w:rsid w:val="00AE6A1C"/>
    <w:rsid w:val="00B610B8"/>
    <w:rsid w:val="00BA0D64"/>
    <w:rsid w:val="00BB65A3"/>
    <w:rsid w:val="00BB71E6"/>
    <w:rsid w:val="00BE3FC8"/>
    <w:rsid w:val="00C0490A"/>
    <w:rsid w:val="00C42143"/>
    <w:rsid w:val="00C61EEC"/>
    <w:rsid w:val="00C90FDF"/>
    <w:rsid w:val="00CC1970"/>
    <w:rsid w:val="00CD16B4"/>
    <w:rsid w:val="00D22255"/>
    <w:rsid w:val="00D3082C"/>
    <w:rsid w:val="00D31665"/>
    <w:rsid w:val="00D40FD4"/>
    <w:rsid w:val="00D5317A"/>
    <w:rsid w:val="00D82006"/>
    <w:rsid w:val="00DE54ED"/>
    <w:rsid w:val="00E157AB"/>
    <w:rsid w:val="00E77650"/>
    <w:rsid w:val="00E92B39"/>
    <w:rsid w:val="00EE7F9B"/>
    <w:rsid w:val="00F15352"/>
    <w:rsid w:val="00F5102A"/>
    <w:rsid w:val="00F6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D5D9"/>
  <w15:chartTrackingRefBased/>
  <w15:docId w15:val="{A7C7E0BE-A0A4-4390-99D9-2FBA0C2E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383C59"/>
  </w:style>
  <w:style w:type="paragraph" w:customStyle="1" w:styleId="paragraph">
    <w:name w:val="paragraph"/>
    <w:basedOn w:val="Normal"/>
    <w:rsid w:val="000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54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66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5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682258B5CB40AF60FEA3D4CF8EC5" ma:contentTypeVersion="3" ma:contentTypeDescription="Create a new document." ma:contentTypeScope="" ma:versionID="193d2d90b12bfaa5d13fce95e8bfdbef">
  <xsd:schema xmlns:xsd="http://www.w3.org/2001/XMLSchema" xmlns:xs="http://www.w3.org/2001/XMLSchema" xmlns:p="http://schemas.microsoft.com/office/2006/metadata/properties" xmlns:ns2="e1c8291f-86b0-46fc-9912-9f263a248987" targetNamespace="http://schemas.microsoft.com/office/2006/metadata/properties" ma:root="true" ma:fieldsID="77c8d790e10dad09b39329f497e6a1f7" ns2:_="">
    <xsd:import namespace="e1c8291f-86b0-46fc-9912-9f263a248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291f-86b0-46fc-9912-9f263a24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F37B1-66C5-48A6-A45F-2BE573F9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8291f-86b0-46fc-9912-9f263a24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78EA7-00BA-46A7-B5F1-4A246BDE7581}">
  <ds:schemaRefs>
    <ds:schemaRef ds:uri="http://schemas.openxmlformats.org/package/2006/metadata/core-properties"/>
    <ds:schemaRef ds:uri="e1c8291f-86b0-46fc-9912-9f263a24898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9A32D2-2CB6-4453-BFF0-1EEBBA424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Qualifications Authority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SQA Connections Week – SVQ Business and Administration - 2 October 2023</dc:title>
  <dc:subject/>
  <dc:creator>SQA</dc:creator>
  <cp:keywords/>
  <dc:description/>
  <cp:lastModifiedBy>Rebecca Pitman</cp:lastModifiedBy>
  <cp:revision>3</cp:revision>
  <dcterms:created xsi:type="dcterms:W3CDTF">2023-11-01T09:10:00Z</dcterms:created>
  <dcterms:modified xsi:type="dcterms:W3CDTF">2023-11-01T09:10:00Z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0x0101002222682258B5CB40AF60FEA3D4CF8EC5</vt:lpwstr>
  </property>
</Properties>
</file>